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894AC">
      <w:pPr>
        <w:spacing w:line="360" w:lineRule="auto"/>
        <w:jc w:val="center"/>
        <w:outlineLvl w:val="0"/>
        <w:rPr>
          <w:b/>
          <w:sz w:val="36"/>
          <w:szCs w:val="36"/>
          <w:highlight w:val="none"/>
        </w:rPr>
      </w:pPr>
      <w:r>
        <w:rPr>
          <w:b/>
          <w:sz w:val="36"/>
          <w:szCs w:val="36"/>
          <w:highlight w:val="none"/>
        </w:rPr>
        <w:t>采购需求</w:t>
      </w:r>
    </w:p>
    <w:p w14:paraId="7CB4D7DB">
      <w:pPr>
        <w:pStyle w:val="3"/>
        <w:numPr>
          <w:ilvl w:val="-1"/>
          <w:numId w:val="0"/>
        </w:numPr>
        <w:autoSpaceDE/>
        <w:autoSpaceDN/>
        <w:snapToGrid w:val="0"/>
        <w:spacing w:before="260" w:after="260" w:line="560" w:lineRule="exact"/>
        <w:ind w:left="0"/>
        <w:jc w:val="center"/>
        <w:textAlignment w:val="baseline"/>
        <w:outlineLvl w:val="1"/>
        <w:rPr>
          <w:rFonts w:hint="eastAsia" w:ascii="宋体" w:hAnsi="宋体" w:eastAsia="宋体"/>
          <w:sz w:val="24"/>
          <w:szCs w:val="24"/>
          <w:highlight w:val="none"/>
        </w:rPr>
      </w:pPr>
      <w:bookmarkStart w:id="0" w:name="_Toc19482"/>
      <w:bookmarkStart w:id="1" w:name="_Toc32530"/>
      <w:bookmarkStart w:id="2" w:name="_Toc29807"/>
      <w:r>
        <w:rPr>
          <w:rFonts w:hint="eastAsia" w:ascii="宋体" w:hAnsi="宋体" w:eastAsia="宋体"/>
          <w:sz w:val="24"/>
          <w:szCs w:val="24"/>
          <w:highlight w:val="none"/>
        </w:rPr>
        <w:t>首都图书馆2026年互联网专线接入费及政务云服务采购项目第一包城图主线1</w:t>
      </w:r>
      <w:bookmarkEnd w:id="0"/>
      <w:bookmarkEnd w:id="1"/>
      <w:bookmarkEnd w:id="2"/>
    </w:p>
    <w:p w14:paraId="459ECD98">
      <w:pPr>
        <w:pStyle w:val="3"/>
        <w:numPr>
          <w:ilvl w:val="1"/>
          <w:numId w:val="1"/>
        </w:numPr>
        <w:autoSpaceDE/>
        <w:autoSpaceDN/>
        <w:snapToGrid w:val="0"/>
        <w:spacing w:before="260" w:after="260" w:line="560" w:lineRule="exact"/>
        <w:ind w:left="0"/>
        <w:jc w:val="left"/>
        <w:textAlignment w:val="baseline"/>
        <w:rPr>
          <w:rFonts w:hint="eastAsia" w:ascii="宋体" w:hAnsi="宋体" w:eastAsia="宋体"/>
          <w:sz w:val="24"/>
          <w:szCs w:val="24"/>
          <w:highlight w:val="none"/>
        </w:rPr>
      </w:pPr>
      <w:r>
        <w:rPr>
          <w:rFonts w:hint="eastAsia" w:ascii="宋体" w:hAnsi="宋体" w:eastAsia="宋体"/>
          <w:sz w:val="24"/>
          <w:szCs w:val="24"/>
          <w:highlight w:val="none"/>
        </w:rPr>
        <w:t>采购标的</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472"/>
        <w:gridCol w:w="1100"/>
        <w:gridCol w:w="1114"/>
        <w:gridCol w:w="2074"/>
      </w:tblGrid>
      <w:tr w14:paraId="22AA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vAlign w:val="center"/>
          </w:tcPr>
          <w:p w14:paraId="60734885">
            <w:pPr>
              <w:pStyle w:val="2"/>
              <w:adjustRightInd w:val="0"/>
              <w:snapToGrid w:val="0"/>
              <w:spacing w:line="560" w:lineRule="exact"/>
              <w:jc w:val="center"/>
              <w:rPr>
                <w:rFonts w:hint="default" w:eastAsia="宋体"/>
                <w:highlight w:val="none"/>
                <w:lang w:val="en-US" w:eastAsia="zh-CN"/>
              </w:rPr>
            </w:pPr>
            <w:r>
              <w:rPr>
                <w:rFonts w:hint="eastAsia"/>
                <w:highlight w:val="none"/>
                <w:lang w:val="en-US" w:eastAsia="zh-CN"/>
              </w:rPr>
              <w:t>标的名称</w:t>
            </w:r>
          </w:p>
        </w:tc>
        <w:tc>
          <w:tcPr>
            <w:tcW w:w="1472" w:type="dxa"/>
            <w:vAlign w:val="center"/>
          </w:tcPr>
          <w:p w14:paraId="2672A0E5">
            <w:pPr>
              <w:pStyle w:val="2"/>
              <w:adjustRightInd w:val="0"/>
              <w:snapToGrid w:val="0"/>
              <w:spacing w:line="560" w:lineRule="exact"/>
              <w:jc w:val="center"/>
              <w:rPr>
                <w:rFonts w:hint="eastAsia"/>
                <w:highlight w:val="none"/>
              </w:rPr>
            </w:pPr>
            <w:r>
              <w:rPr>
                <w:rFonts w:hint="eastAsia"/>
                <w:highlight w:val="none"/>
              </w:rPr>
              <w:t>货物或服务名称</w:t>
            </w:r>
          </w:p>
        </w:tc>
        <w:tc>
          <w:tcPr>
            <w:tcW w:w="1100" w:type="dxa"/>
            <w:vAlign w:val="center"/>
          </w:tcPr>
          <w:p w14:paraId="0EB9C67E">
            <w:pPr>
              <w:pStyle w:val="2"/>
              <w:adjustRightInd w:val="0"/>
              <w:snapToGrid w:val="0"/>
              <w:spacing w:line="560" w:lineRule="exact"/>
              <w:jc w:val="center"/>
              <w:rPr>
                <w:rFonts w:hint="eastAsia"/>
                <w:highlight w:val="none"/>
              </w:rPr>
            </w:pPr>
            <w:r>
              <w:rPr>
                <w:rFonts w:hint="eastAsia"/>
                <w:highlight w:val="none"/>
              </w:rPr>
              <w:t>数量</w:t>
            </w:r>
          </w:p>
        </w:tc>
        <w:tc>
          <w:tcPr>
            <w:tcW w:w="1114" w:type="dxa"/>
            <w:vAlign w:val="center"/>
          </w:tcPr>
          <w:p w14:paraId="5434986C">
            <w:pPr>
              <w:pStyle w:val="2"/>
              <w:adjustRightInd w:val="0"/>
              <w:snapToGrid w:val="0"/>
              <w:spacing w:line="560" w:lineRule="exact"/>
              <w:jc w:val="center"/>
              <w:rPr>
                <w:rFonts w:hint="eastAsia"/>
                <w:highlight w:val="none"/>
              </w:rPr>
            </w:pPr>
            <w:r>
              <w:rPr>
                <w:rFonts w:hint="eastAsia"/>
                <w:highlight w:val="none"/>
              </w:rPr>
              <w:t>单位</w:t>
            </w:r>
          </w:p>
        </w:tc>
        <w:tc>
          <w:tcPr>
            <w:tcW w:w="2074" w:type="dxa"/>
            <w:vAlign w:val="center"/>
          </w:tcPr>
          <w:p w14:paraId="7C064709">
            <w:pPr>
              <w:pStyle w:val="2"/>
              <w:adjustRightInd w:val="0"/>
              <w:snapToGrid w:val="0"/>
              <w:spacing w:line="560" w:lineRule="exact"/>
              <w:jc w:val="center"/>
              <w:rPr>
                <w:rFonts w:hint="eastAsia"/>
                <w:highlight w:val="none"/>
              </w:rPr>
            </w:pPr>
            <w:r>
              <w:rPr>
                <w:rFonts w:hint="eastAsia"/>
                <w:highlight w:val="none"/>
              </w:rPr>
              <w:t>备注：（采购资金）</w:t>
            </w:r>
          </w:p>
          <w:p w14:paraId="6EE077B5">
            <w:pPr>
              <w:pStyle w:val="2"/>
              <w:adjustRightInd w:val="0"/>
              <w:snapToGrid w:val="0"/>
              <w:spacing w:line="560" w:lineRule="exact"/>
              <w:jc w:val="center"/>
              <w:rPr>
                <w:rFonts w:hint="eastAsia"/>
                <w:highlight w:val="none"/>
              </w:rPr>
            </w:pPr>
            <w:r>
              <w:rPr>
                <w:rFonts w:hint="eastAsia"/>
                <w:highlight w:val="none"/>
              </w:rPr>
              <w:t>单位：万元</w:t>
            </w:r>
          </w:p>
        </w:tc>
      </w:tr>
      <w:tr w14:paraId="757E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vAlign w:val="center"/>
          </w:tcPr>
          <w:p w14:paraId="6ECEEB32">
            <w:pPr>
              <w:pStyle w:val="2"/>
              <w:adjustRightInd w:val="0"/>
              <w:snapToGrid w:val="0"/>
              <w:spacing w:line="560" w:lineRule="exact"/>
              <w:jc w:val="center"/>
              <w:rPr>
                <w:rFonts w:hint="eastAsia"/>
                <w:highlight w:val="none"/>
              </w:rPr>
            </w:pPr>
            <w:r>
              <w:rPr>
                <w:rFonts w:hint="eastAsia"/>
                <w:bCs/>
                <w:szCs w:val="21"/>
                <w:highlight w:val="none"/>
              </w:rPr>
              <w:t>首都图书馆2026年互联网专线接入费及政务云服务采购项目</w:t>
            </w:r>
            <w:r>
              <w:rPr>
                <w:rFonts w:hint="eastAsia"/>
                <w:bCs/>
                <w:szCs w:val="21"/>
                <w:highlight w:val="none"/>
                <w:lang w:val="en-US" w:eastAsia="zh-CN"/>
              </w:rPr>
              <w:t>第一包城图主线1</w:t>
            </w:r>
          </w:p>
        </w:tc>
        <w:tc>
          <w:tcPr>
            <w:tcW w:w="1472" w:type="dxa"/>
          </w:tcPr>
          <w:p w14:paraId="5FC6D05D">
            <w:pPr>
              <w:pStyle w:val="2"/>
              <w:adjustRightInd w:val="0"/>
              <w:snapToGrid w:val="0"/>
              <w:spacing w:line="560" w:lineRule="exact"/>
              <w:jc w:val="center"/>
              <w:rPr>
                <w:rFonts w:hint="eastAsia"/>
                <w:highlight w:val="none"/>
              </w:rPr>
            </w:pPr>
            <w:r>
              <w:rPr>
                <w:rFonts w:hint="eastAsia"/>
                <w:highlight w:val="none"/>
              </w:rPr>
              <w:t>租用500Mbps互联网专线</w:t>
            </w:r>
          </w:p>
        </w:tc>
        <w:tc>
          <w:tcPr>
            <w:tcW w:w="1100" w:type="dxa"/>
          </w:tcPr>
          <w:p w14:paraId="6ACEEFDF">
            <w:pPr>
              <w:pStyle w:val="2"/>
              <w:adjustRightInd w:val="0"/>
              <w:snapToGrid w:val="0"/>
              <w:spacing w:line="560" w:lineRule="exact"/>
              <w:jc w:val="center"/>
              <w:rPr>
                <w:rFonts w:hint="eastAsia"/>
                <w:highlight w:val="none"/>
              </w:rPr>
            </w:pPr>
            <w:r>
              <w:rPr>
                <w:rFonts w:hint="eastAsia"/>
                <w:highlight w:val="none"/>
              </w:rPr>
              <w:t>1</w:t>
            </w:r>
          </w:p>
        </w:tc>
        <w:tc>
          <w:tcPr>
            <w:tcW w:w="1114" w:type="dxa"/>
          </w:tcPr>
          <w:p w14:paraId="2DD0584E">
            <w:pPr>
              <w:pStyle w:val="2"/>
              <w:adjustRightInd w:val="0"/>
              <w:snapToGrid w:val="0"/>
              <w:spacing w:line="560" w:lineRule="exact"/>
              <w:jc w:val="center"/>
              <w:rPr>
                <w:rFonts w:hint="eastAsia"/>
                <w:highlight w:val="none"/>
              </w:rPr>
            </w:pPr>
            <w:r>
              <w:rPr>
                <w:rFonts w:hint="eastAsia"/>
                <w:highlight w:val="none"/>
              </w:rPr>
              <w:t>条</w:t>
            </w:r>
          </w:p>
        </w:tc>
        <w:tc>
          <w:tcPr>
            <w:tcW w:w="2074" w:type="dxa"/>
          </w:tcPr>
          <w:p w14:paraId="1EE73D2F">
            <w:pPr>
              <w:pStyle w:val="2"/>
              <w:adjustRightInd w:val="0"/>
              <w:snapToGrid w:val="0"/>
              <w:spacing w:line="560" w:lineRule="exact"/>
              <w:jc w:val="center"/>
              <w:rPr>
                <w:rFonts w:hint="default" w:eastAsia="宋体"/>
                <w:highlight w:val="none"/>
                <w:lang w:val="en-US" w:eastAsia="zh-CN"/>
              </w:rPr>
            </w:pPr>
            <w:r>
              <w:rPr>
                <w:rFonts w:hint="eastAsia"/>
                <w:highlight w:val="none"/>
                <w:lang w:val="en-US" w:eastAsia="zh-CN"/>
              </w:rPr>
              <w:t>67.609</w:t>
            </w:r>
          </w:p>
        </w:tc>
      </w:tr>
    </w:tbl>
    <w:p w14:paraId="2BFAB5F2">
      <w:pPr>
        <w:pStyle w:val="12"/>
        <w:adjustRightInd w:val="0"/>
        <w:snapToGrid w:val="0"/>
        <w:spacing w:line="560" w:lineRule="exact"/>
        <w:ind w:firstLine="482"/>
        <w:rPr>
          <w:rFonts w:hint="eastAsia" w:ascii="宋体" w:hAnsi="宋体" w:cs="仿宋_GB2312"/>
          <w:highlight w:val="none"/>
        </w:rPr>
      </w:pPr>
      <w:r>
        <w:rPr>
          <w:rFonts w:hint="eastAsia" w:ascii="宋体" w:hAnsi="宋体" w:cs="仿宋_GB2312"/>
          <w:b/>
          <w:highlight w:val="none"/>
        </w:rPr>
        <w:t>基本需求：</w:t>
      </w:r>
      <w:r>
        <w:rPr>
          <w:rFonts w:hint="eastAsia" w:ascii="宋体" w:hAnsi="宋体" w:cs="仿宋_GB2312"/>
          <w:b w:val="0"/>
          <w:bCs/>
          <w:color w:val="auto"/>
          <w:highlight w:val="none"/>
        </w:rPr>
        <w:t>为促进北京城市图书馆信息化发展，保障图书馆系统访问、全球最新图书咨询信息访问、日常办公业务需求、图书馆WIFI系统等，本项目计划采购1条500Mbps互联网专线。</w:t>
      </w:r>
    </w:p>
    <w:p w14:paraId="44527C65">
      <w:pPr>
        <w:pStyle w:val="3"/>
        <w:numPr>
          <w:ilvl w:val="1"/>
          <w:numId w:val="1"/>
        </w:numPr>
        <w:autoSpaceDE/>
        <w:autoSpaceDN/>
        <w:snapToGrid w:val="0"/>
        <w:spacing w:before="260" w:after="260" w:line="560" w:lineRule="exact"/>
        <w:ind w:left="0"/>
        <w:jc w:val="left"/>
        <w:textAlignment w:val="baseline"/>
        <w:rPr>
          <w:rFonts w:hint="eastAsia" w:ascii="宋体" w:hAnsi="宋体" w:eastAsia="宋体"/>
          <w:sz w:val="24"/>
          <w:szCs w:val="24"/>
          <w:highlight w:val="none"/>
        </w:rPr>
      </w:pPr>
      <w:r>
        <w:rPr>
          <w:rFonts w:hint="eastAsia" w:ascii="宋体" w:hAnsi="宋体" w:eastAsia="宋体"/>
          <w:sz w:val="24"/>
          <w:szCs w:val="24"/>
          <w:highlight w:val="none"/>
        </w:rPr>
        <w:t>商务要求</w:t>
      </w:r>
    </w:p>
    <w:p w14:paraId="68068E37">
      <w:pPr>
        <w:tabs>
          <w:tab w:val="left" w:pos="525"/>
        </w:tabs>
        <w:spacing w:line="360" w:lineRule="auto"/>
        <w:ind w:firstLine="480"/>
        <w:rPr>
          <w:rFonts w:hint="eastAsia" w:ascii="宋体" w:hAnsi="宋体" w:cs="仿宋_GB2312"/>
          <w:sz w:val="24"/>
          <w:highlight w:val="none"/>
        </w:rPr>
      </w:pPr>
      <w:r>
        <w:rPr>
          <w:rFonts w:hint="eastAsia" w:ascii="宋体" w:hAnsi="宋体" w:cs="仿宋_GB2312"/>
          <w:sz w:val="24"/>
          <w:highlight w:val="none"/>
        </w:rPr>
        <w:t>1.服务期：17个月。</w:t>
      </w:r>
    </w:p>
    <w:p w14:paraId="54A27826">
      <w:pPr>
        <w:tabs>
          <w:tab w:val="left" w:pos="525"/>
        </w:tabs>
        <w:spacing w:line="360" w:lineRule="auto"/>
        <w:ind w:firstLine="480"/>
        <w:rPr>
          <w:rFonts w:hint="eastAsia" w:ascii="宋体" w:hAnsi="宋体" w:cs="仿宋_GB2312"/>
          <w:sz w:val="24"/>
          <w:highlight w:val="none"/>
        </w:rPr>
      </w:pPr>
      <w:r>
        <w:rPr>
          <w:rFonts w:hint="eastAsia" w:ascii="宋体" w:hAnsi="宋体" w:cs="仿宋_GB2312"/>
          <w:sz w:val="24"/>
          <w:highlight w:val="none"/>
        </w:rPr>
        <w:t>2.服务交付地点：北京城市图书馆。</w:t>
      </w:r>
    </w:p>
    <w:p w14:paraId="1CF759D7">
      <w:pPr>
        <w:pStyle w:val="2"/>
        <w:tabs>
          <w:tab w:val="left" w:pos="420"/>
        </w:tabs>
        <w:rPr>
          <w:rFonts w:hint="eastAsia"/>
          <w:highlight w:val="none"/>
        </w:rPr>
      </w:pPr>
      <w:r>
        <w:rPr>
          <w:rFonts w:hint="eastAsia"/>
          <w:highlight w:val="none"/>
          <w:lang w:val="en-US" w:eastAsia="zh-CN"/>
        </w:rPr>
        <w:tab/>
      </w:r>
      <w:r>
        <w:rPr>
          <w:rFonts w:hint="eastAsia"/>
          <w:highlight w:val="none"/>
          <w:lang w:val="en-US" w:eastAsia="zh-CN"/>
        </w:rPr>
        <w:t>3.</w:t>
      </w:r>
      <w:r>
        <w:rPr>
          <w:rFonts w:hint="eastAsia"/>
          <w:highlight w:val="none"/>
        </w:rPr>
        <w:t>交货时间：应保证合同签订后3-5个工作日（含5个工作日）完成专线开通及测试。</w:t>
      </w:r>
    </w:p>
    <w:p w14:paraId="65FA5D00">
      <w:pPr>
        <w:pStyle w:val="2"/>
        <w:tabs>
          <w:tab w:val="left" w:pos="420"/>
          <w:tab w:val="clear" w:pos="567"/>
        </w:tabs>
        <w:rPr>
          <w:rFonts w:hint="eastAsia"/>
          <w:highlight w:val="none"/>
          <w:lang w:val="en-US" w:eastAsia="zh-CN"/>
        </w:rPr>
      </w:pPr>
      <w:r>
        <w:rPr>
          <w:rFonts w:hint="eastAsia"/>
          <w:highlight w:val="none"/>
          <w:lang w:val="en-US" w:eastAsia="zh-CN"/>
        </w:rPr>
        <w:tab/>
      </w:r>
      <w:r>
        <w:rPr>
          <w:rFonts w:hint="eastAsia"/>
          <w:highlight w:val="none"/>
          <w:lang w:val="en-US" w:eastAsia="zh-CN"/>
        </w:rPr>
        <w:t>4.本合同项下中标人向采购人提供的服务合同总价，分项价格详见第二条或合同附件，该价格为中标人履行本合同项下服务的全部费用，采购人不再另行向中标人支付费用。</w:t>
      </w:r>
    </w:p>
    <w:p w14:paraId="4488FA9A">
      <w:pPr>
        <w:pStyle w:val="2"/>
        <w:tabs>
          <w:tab w:val="left" w:pos="420"/>
          <w:tab w:val="clear" w:pos="567"/>
        </w:tabs>
        <w:rPr>
          <w:rFonts w:hint="eastAsia"/>
          <w:highlight w:val="none"/>
          <w:lang w:val="en-US" w:eastAsia="zh-CN"/>
        </w:rPr>
      </w:pPr>
      <w:r>
        <w:rPr>
          <w:rFonts w:hint="eastAsia"/>
          <w:highlight w:val="none"/>
          <w:lang w:val="en-US" w:eastAsia="zh-CN"/>
        </w:rPr>
        <w:tab/>
      </w:r>
      <w:r>
        <w:rPr>
          <w:rFonts w:hint="eastAsia"/>
          <w:highlight w:val="none"/>
          <w:lang w:val="en-US" w:eastAsia="zh-CN"/>
        </w:rPr>
        <w:t>5.本合同签订且中标人支付履约保证金(若有),中标人完成本合同项下的服务，向采购人交付服务成果，并经采购人验收合格后一个月内采购人向中标人支付第一笔款，即合同总价60%;中标人完成本合同项下的服务，向采购人交付服务成果，经采购人验收合格，运行一个月后无故障，且本项目财政资金到账后一次性付清支付合同结算总价余款。</w:t>
      </w:r>
    </w:p>
    <w:p w14:paraId="29F8E8BB">
      <w:pPr>
        <w:pStyle w:val="2"/>
        <w:tabs>
          <w:tab w:val="left" w:pos="420"/>
          <w:tab w:val="clear" w:pos="567"/>
        </w:tabs>
        <w:rPr>
          <w:rFonts w:hint="eastAsia" w:eastAsia="宋体"/>
          <w:highlight w:val="none"/>
          <w:lang w:val="en-US" w:eastAsia="zh-CN"/>
        </w:rPr>
      </w:pPr>
      <w:r>
        <w:rPr>
          <w:rFonts w:hint="eastAsia"/>
          <w:highlight w:val="none"/>
          <w:lang w:val="en-US" w:eastAsia="zh-CN"/>
        </w:rPr>
        <w:tab/>
      </w:r>
      <w:r>
        <w:rPr>
          <w:rFonts w:hint="eastAsia"/>
          <w:highlight w:val="none"/>
          <w:lang w:val="en-US" w:eastAsia="zh-CN"/>
        </w:rPr>
        <w:t>6.本项目各阶段最终付款方式需等财政资金到账后进行支付，如果财政资金到账迟延，采购人可因此延期支付货款，采购人不因此承担违约责任。</w:t>
      </w:r>
    </w:p>
    <w:p w14:paraId="6B6C758E">
      <w:pPr>
        <w:tabs>
          <w:tab w:val="left" w:pos="525"/>
        </w:tabs>
        <w:spacing w:line="360" w:lineRule="auto"/>
        <w:ind w:firstLine="480"/>
        <w:rPr>
          <w:rFonts w:hint="eastAsia" w:ascii="宋体" w:hAnsi="宋体" w:cs="仿宋_GB2312"/>
          <w:sz w:val="24"/>
          <w:highlight w:val="none"/>
        </w:rPr>
      </w:pPr>
      <w:r>
        <w:rPr>
          <w:rFonts w:hint="eastAsia" w:ascii="宋体" w:hAnsi="宋体" w:cs="仿宋_GB2312"/>
          <w:sz w:val="24"/>
          <w:highlight w:val="none"/>
        </w:rPr>
        <w:t>投标人须具备履行合同所必需的专业资质及成功经验。</w:t>
      </w:r>
    </w:p>
    <w:p w14:paraId="2712CE24">
      <w:pPr>
        <w:tabs>
          <w:tab w:val="left" w:pos="525"/>
        </w:tabs>
        <w:spacing w:line="360" w:lineRule="auto"/>
        <w:ind w:firstLine="480"/>
        <w:rPr>
          <w:rFonts w:hint="eastAsia" w:ascii="宋体" w:hAnsi="宋体" w:cs="仿宋_GB2312"/>
          <w:sz w:val="24"/>
          <w:highlight w:val="none"/>
        </w:rPr>
      </w:pPr>
      <w:r>
        <w:rPr>
          <w:rFonts w:hint="eastAsia" w:ascii="宋体" w:hAnsi="宋体" w:cs="仿宋_GB2312"/>
          <w:sz w:val="24"/>
          <w:highlight w:val="none"/>
        </w:rPr>
        <w:t>1.投标人必须持有国家相关主管部门核发的、合法有效的电信业务经营许可证以证明其依法从事相关电信业务的资格。</w:t>
      </w:r>
    </w:p>
    <w:p w14:paraId="4018FFD3">
      <w:pPr>
        <w:tabs>
          <w:tab w:val="left" w:pos="525"/>
        </w:tabs>
        <w:spacing w:line="360" w:lineRule="auto"/>
        <w:ind w:firstLine="480"/>
        <w:rPr>
          <w:rFonts w:hint="eastAsia" w:ascii="宋体" w:hAnsi="宋体" w:cs="仿宋_GB2312"/>
          <w:sz w:val="24"/>
          <w:highlight w:val="none"/>
        </w:rPr>
      </w:pPr>
      <w:r>
        <w:rPr>
          <w:rFonts w:hint="eastAsia" w:ascii="宋体" w:hAnsi="宋体" w:cs="仿宋_GB2312"/>
          <w:sz w:val="24"/>
          <w:highlight w:val="none"/>
        </w:rPr>
        <w:t>2.为保障服务的规范化与安全性，投标人应已建立并持续运行完善的管理体系，以体现其在质量、服务和信息安全方面的系统化管理能力。</w:t>
      </w:r>
    </w:p>
    <w:p w14:paraId="57D2CAD4">
      <w:pPr>
        <w:tabs>
          <w:tab w:val="left" w:pos="525"/>
        </w:tabs>
        <w:spacing w:line="360" w:lineRule="auto"/>
        <w:ind w:firstLine="480"/>
        <w:rPr>
          <w:rFonts w:hint="eastAsia" w:ascii="宋体" w:hAnsi="宋体" w:cs="仿宋_GB2312"/>
          <w:sz w:val="24"/>
          <w:highlight w:val="none"/>
        </w:rPr>
      </w:pPr>
      <w:r>
        <w:rPr>
          <w:rFonts w:hint="eastAsia" w:ascii="宋体" w:hAnsi="宋体" w:cs="仿宋_GB2312"/>
          <w:sz w:val="24"/>
          <w:highlight w:val="none"/>
        </w:rPr>
        <w:t>3.投标人须提供自202</w:t>
      </w:r>
      <w:r>
        <w:rPr>
          <w:rFonts w:hint="eastAsia" w:ascii="宋体" w:hAnsi="宋体" w:cs="仿宋_GB2312"/>
          <w:sz w:val="24"/>
          <w:highlight w:val="none"/>
          <w:lang w:val="en-US" w:eastAsia="zh-CN"/>
        </w:rPr>
        <w:t>3</w:t>
      </w:r>
      <w:r>
        <w:rPr>
          <w:rFonts w:hint="eastAsia" w:ascii="宋体" w:hAnsi="宋体" w:cs="仿宋_GB2312"/>
          <w:sz w:val="24"/>
          <w:highlight w:val="none"/>
        </w:rPr>
        <w:t>年1月1日起至本项目投标截止之日止，所完成的多项同类互联网专线或高质量网络接入服务的成功案例证明，用以直接佐证其解决类似复杂需求的实际经验与技术执行力。案例时间以合同签订时间为准。</w:t>
      </w:r>
    </w:p>
    <w:p w14:paraId="44A1ADF0">
      <w:pPr>
        <w:pStyle w:val="3"/>
        <w:numPr>
          <w:ilvl w:val="1"/>
          <w:numId w:val="1"/>
        </w:numPr>
        <w:autoSpaceDE/>
        <w:autoSpaceDN/>
        <w:snapToGrid w:val="0"/>
        <w:spacing w:before="260" w:after="260" w:line="560" w:lineRule="exact"/>
        <w:ind w:left="0"/>
        <w:jc w:val="left"/>
        <w:textAlignment w:val="baseline"/>
        <w:rPr>
          <w:rFonts w:hint="eastAsia" w:ascii="宋体" w:hAnsi="宋体" w:eastAsia="宋体" w:cs="仿宋_GB2312"/>
          <w:sz w:val="24"/>
          <w:szCs w:val="24"/>
          <w:highlight w:val="none"/>
        </w:rPr>
      </w:pPr>
      <w:r>
        <w:rPr>
          <w:rFonts w:hint="eastAsia" w:ascii="宋体" w:hAnsi="宋体" w:eastAsia="宋体"/>
          <w:sz w:val="24"/>
          <w:szCs w:val="24"/>
          <w:highlight w:val="none"/>
        </w:rPr>
        <w:t>技术要求</w:t>
      </w:r>
    </w:p>
    <w:p w14:paraId="60EF03F1">
      <w:pPr>
        <w:pStyle w:val="4"/>
        <w:snapToGrid w:val="0"/>
        <w:spacing w:line="560" w:lineRule="exact"/>
        <w:rPr>
          <w:rFonts w:hint="eastAsia" w:hAnsi="宋体"/>
          <w:szCs w:val="24"/>
          <w:highlight w:val="none"/>
        </w:rPr>
      </w:pPr>
      <w:r>
        <w:rPr>
          <w:rFonts w:hint="eastAsia" w:hAnsi="宋体"/>
          <w:szCs w:val="24"/>
          <w:highlight w:val="none"/>
        </w:rPr>
        <w:t>1.线路技术要求</w:t>
      </w:r>
    </w:p>
    <w:p w14:paraId="42640E63">
      <w:pPr>
        <w:pStyle w:val="7"/>
        <w:snapToGrid w:val="0"/>
        <w:spacing w:line="560" w:lineRule="exact"/>
        <w:ind w:firstLine="482"/>
        <w:rPr>
          <w:rFonts w:hint="eastAsia" w:hAnsi="宋体" w:cs="仿宋_GB2312"/>
          <w:highlight w:val="none"/>
        </w:rPr>
      </w:pPr>
      <w:r>
        <w:rPr>
          <w:rFonts w:hint="eastAsia" w:hAnsi="宋体" w:cs="仿宋_GB2312"/>
          <w:b/>
          <w:bCs/>
          <w:highlight w:val="none"/>
        </w:rPr>
        <w:t>互联网专线技术参数</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13"/>
        <w:gridCol w:w="1708"/>
        <w:gridCol w:w="4267"/>
        <w:gridCol w:w="2198"/>
      </w:tblGrid>
      <w:tr w14:paraId="6C8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shd w:val="clear" w:color="auto" w:fill="A6A6A6"/>
            <w:vAlign w:val="center"/>
          </w:tcPr>
          <w:p w14:paraId="6000E4AF">
            <w:pPr>
              <w:jc w:val="center"/>
              <w:rPr>
                <w:rFonts w:hint="eastAsia" w:ascii="宋体" w:hAnsi="宋体" w:cs="宋体"/>
                <w:b/>
                <w:sz w:val="24"/>
                <w:highlight w:val="none"/>
              </w:rPr>
            </w:pPr>
            <w:r>
              <w:rPr>
                <w:rFonts w:hint="eastAsia" w:ascii="宋体" w:hAnsi="宋体" w:cs="宋体"/>
                <w:b/>
                <w:sz w:val="24"/>
                <w:highlight w:val="none"/>
              </w:rPr>
              <w:t>序号</w:t>
            </w:r>
          </w:p>
        </w:tc>
        <w:tc>
          <w:tcPr>
            <w:tcW w:w="613" w:type="dxa"/>
            <w:shd w:val="clear" w:color="auto" w:fill="A6A6A6"/>
            <w:vAlign w:val="center"/>
          </w:tcPr>
          <w:p w14:paraId="5713973A">
            <w:pPr>
              <w:jc w:val="center"/>
              <w:rPr>
                <w:rFonts w:hint="eastAsia" w:ascii="宋体" w:hAnsi="宋体" w:cs="宋体"/>
                <w:b/>
                <w:sz w:val="24"/>
                <w:highlight w:val="none"/>
              </w:rPr>
            </w:pPr>
            <w:r>
              <w:rPr>
                <w:rFonts w:hint="eastAsia" w:ascii="宋体" w:hAnsi="宋体" w:cs="宋体"/>
                <w:b/>
                <w:sz w:val="24"/>
                <w:highlight w:val="none"/>
              </w:rPr>
              <w:t>重要性</w:t>
            </w:r>
          </w:p>
        </w:tc>
        <w:tc>
          <w:tcPr>
            <w:tcW w:w="1708" w:type="dxa"/>
            <w:shd w:val="clear" w:color="auto" w:fill="A6A6A6"/>
            <w:vAlign w:val="center"/>
          </w:tcPr>
          <w:p w14:paraId="4D3C67CC">
            <w:pPr>
              <w:jc w:val="center"/>
              <w:rPr>
                <w:rFonts w:hint="eastAsia" w:ascii="宋体" w:hAnsi="宋体" w:cs="宋体"/>
                <w:b/>
                <w:sz w:val="24"/>
                <w:highlight w:val="none"/>
              </w:rPr>
            </w:pPr>
            <w:r>
              <w:rPr>
                <w:rFonts w:hint="eastAsia" w:ascii="宋体" w:hAnsi="宋体" w:cs="宋体"/>
                <w:b/>
                <w:sz w:val="24"/>
                <w:highlight w:val="none"/>
              </w:rPr>
              <w:t>指标项</w:t>
            </w:r>
          </w:p>
        </w:tc>
        <w:tc>
          <w:tcPr>
            <w:tcW w:w="4267" w:type="dxa"/>
            <w:shd w:val="clear" w:color="auto" w:fill="A6A6A6"/>
            <w:vAlign w:val="center"/>
          </w:tcPr>
          <w:p w14:paraId="5CAE02B4">
            <w:pPr>
              <w:jc w:val="center"/>
              <w:rPr>
                <w:rFonts w:hint="eastAsia" w:ascii="宋体" w:hAnsi="宋体" w:cs="宋体"/>
                <w:b/>
                <w:sz w:val="24"/>
                <w:highlight w:val="none"/>
              </w:rPr>
            </w:pPr>
            <w:r>
              <w:rPr>
                <w:rFonts w:hint="eastAsia" w:ascii="宋体" w:hAnsi="宋体" w:cs="宋体"/>
                <w:b/>
                <w:sz w:val="24"/>
                <w:highlight w:val="none"/>
              </w:rPr>
              <w:t>指标要求</w:t>
            </w:r>
          </w:p>
        </w:tc>
        <w:tc>
          <w:tcPr>
            <w:tcW w:w="2198" w:type="dxa"/>
            <w:shd w:val="clear" w:color="auto" w:fill="A6A6A6"/>
            <w:vAlign w:val="center"/>
          </w:tcPr>
          <w:p w14:paraId="3C52982F">
            <w:pPr>
              <w:jc w:val="center"/>
              <w:rPr>
                <w:rFonts w:hint="eastAsia" w:ascii="宋体" w:hAnsi="宋体" w:cs="宋体"/>
                <w:b/>
                <w:sz w:val="24"/>
                <w:highlight w:val="none"/>
              </w:rPr>
            </w:pPr>
            <w:r>
              <w:rPr>
                <w:rFonts w:hint="eastAsia" w:ascii="宋体" w:hAnsi="宋体" w:cs="宋体"/>
                <w:b/>
                <w:sz w:val="24"/>
                <w:highlight w:val="none"/>
              </w:rPr>
              <w:t>证明材料要求</w:t>
            </w:r>
          </w:p>
        </w:tc>
      </w:tr>
      <w:tr w14:paraId="683F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502" w:type="dxa"/>
            <w:vAlign w:val="center"/>
          </w:tcPr>
          <w:p w14:paraId="536C67ED">
            <w:pPr>
              <w:jc w:val="center"/>
              <w:rPr>
                <w:rFonts w:hint="eastAsia" w:ascii="宋体" w:hAnsi="宋体" w:cs="宋体"/>
                <w:bCs/>
                <w:sz w:val="24"/>
                <w:highlight w:val="none"/>
              </w:rPr>
            </w:pPr>
            <w:r>
              <w:rPr>
                <w:rFonts w:hint="eastAsia" w:ascii="宋体" w:hAnsi="宋体" w:cs="宋体"/>
                <w:bCs/>
                <w:sz w:val="24"/>
                <w:highlight w:val="none"/>
              </w:rPr>
              <w:t>1</w:t>
            </w:r>
          </w:p>
        </w:tc>
        <w:tc>
          <w:tcPr>
            <w:tcW w:w="613" w:type="dxa"/>
            <w:vAlign w:val="center"/>
          </w:tcPr>
          <w:p w14:paraId="60BD0067">
            <w:pPr>
              <w:jc w:val="center"/>
              <w:rPr>
                <w:rFonts w:hint="eastAsia" w:ascii="宋体" w:hAnsi="宋体" w:cs="宋体"/>
                <w:b/>
                <w:sz w:val="24"/>
                <w:highlight w:val="none"/>
              </w:rPr>
            </w:pPr>
          </w:p>
        </w:tc>
        <w:tc>
          <w:tcPr>
            <w:tcW w:w="1708" w:type="dxa"/>
            <w:vAlign w:val="center"/>
          </w:tcPr>
          <w:p w14:paraId="3201554D">
            <w:pPr>
              <w:jc w:val="center"/>
              <w:rPr>
                <w:rFonts w:hint="eastAsia" w:ascii="宋体" w:hAnsi="宋体" w:cs="宋体"/>
                <w:sz w:val="24"/>
                <w:highlight w:val="none"/>
                <w:lang w:bidi="en-US"/>
              </w:rPr>
            </w:pPr>
            <w:r>
              <w:rPr>
                <w:rFonts w:hint="eastAsia" w:ascii="宋体" w:hAnsi="宋体" w:cs="宋体"/>
                <w:sz w:val="24"/>
                <w:highlight w:val="none"/>
              </w:rPr>
              <w:t>链路要求</w:t>
            </w:r>
          </w:p>
        </w:tc>
        <w:tc>
          <w:tcPr>
            <w:tcW w:w="4267" w:type="dxa"/>
            <w:vAlign w:val="center"/>
          </w:tcPr>
          <w:p w14:paraId="48ECBC10">
            <w:pPr>
              <w:rPr>
                <w:rFonts w:hint="eastAsia"/>
                <w:highlight w:val="none"/>
              </w:rPr>
            </w:pPr>
            <w:r>
              <w:rPr>
                <w:rFonts w:hint="eastAsia" w:ascii="宋体" w:hAnsi="宋体" w:cs="仿宋_GB2312"/>
                <w:sz w:val="24"/>
                <w:highlight w:val="none"/>
              </w:rPr>
              <w:t>光纤符合ITU-T G.652B标准的单模光纤，通过裸光纤到达</w:t>
            </w:r>
            <w:r>
              <w:rPr>
                <w:rFonts w:hint="eastAsia" w:ascii="宋体" w:hAnsi="宋体" w:cs="仿宋_GB2312"/>
                <w:sz w:val="24"/>
                <w:highlight w:val="none"/>
                <w:lang w:val="en-US" w:eastAsia="zh-CN"/>
              </w:rPr>
              <w:t>采购</w:t>
            </w:r>
            <w:r>
              <w:rPr>
                <w:rFonts w:hint="eastAsia" w:ascii="宋体" w:hAnsi="宋体" w:cs="仿宋_GB2312"/>
                <w:sz w:val="24"/>
                <w:highlight w:val="none"/>
              </w:rPr>
              <w:t>人指定的机房位置，并与本地设备实现对接。</w:t>
            </w:r>
          </w:p>
        </w:tc>
        <w:tc>
          <w:tcPr>
            <w:tcW w:w="2198" w:type="dxa"/>
            <w:vMerge w:val="restart"/>
            <w:vAlign w:val="center"/>
          </w:tcPr>
          <w:p w14:paraId="45A845ED">
            <w:pPr>
              <w:jc w:val="center"/>
              <w:rPr>
                <w:rFonts w:hint="eastAsia" w:ascii="宋体" w:hAnsi="宋体" w:cs="宋体"/>
                <w:sz w:val="24"/>
                <w:highlight w:val="none"/>
                <w:lang w:bidi="en-US"/>
              </w:rPr>
            </w:pPr>
            <w:r>
              <w:rPr>
                <w:rFonts w:hint="eastAsia" w:ascii="宋体" w:hAnsi="宋体" w:cs="宋体"/>
                <w:sz w:val="24"/>
                <w:highlight w:val="none"/>
              </w:rPr>
              <w:t>提供承诺函并加盖投标人公章</w:t>
            </w:r>
          </w:p>
        </w:tc>
      </w:tr>
      <w:tr w14:paraId="302D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2" w:type="dxa"/>
            <w:vAlign w:val="center"/>
          </w:tcPr>
          <w:p w14:paraId="3F2FEEE9">
            <w:pPr>
              <w:jc w:val="center"/>
              <w:rPr>
                <w:rFonts w:hint="eastAsia" w:ascii="宋体" w:hAnsi="宋体" w:cs="宋体"/>
                <w:bCs/>
                <w:sz w:val="24"/>
                <w:highlight w:val="none"/>
              </w:rPr>
            </w:pPr>
            <w:r>
              <w:rPr>
                <w:rFonts w:hint="eastAsia" w:ascii="宋体" w:hAnsi="宋体" w:cs="宋体"/>
                <w:bCs/>
                <w:sz w:val="24"/>
                <w:highlight w:val="none"/>
              </w:rPr>
              <w:t>2</w:t>
            </w:r>
          </w:p>
        </w:tc>
        <w:tc>
          <w:tcPr>
            <w:tcW w:w="613" w:type="dxa"/>
            <w:vAlign w:val="center"/>
          </w:tcPr>
          <w:p w14:paraId="3EDCBE87">
            <w:pPr>
              <w:jc w:val="center"/>
              <w:rPr>
                <w:rFonts w:hint="eastAsia" w:ascii="宋体" w:hAnsi="宋体" w:cs="宋体"/>
                <w:b/>
                <w:sz w:val="24"/>
                <w:highlight w:val="none"/>
              </w:rPr>
            </w:pPr>
          </w:p>
        </w:tc>
        <w:tc>
          <w:tcPr>
            <w:tcW w:w="1708" w:type="dxa"/>
            <w:vAlign w:val="center"/>
          </w:tcPr>
          <w:p w14:paraId="53183C6A">
            <w:pPr>
              <w:jc w:val="center"/>
              <w:rPr>
                <w:rFonts w:hint="eastAsia" w:ascii="宋体" w:hAnsi="宋体" w:cs="宋体"/>
                <w:sz w:val="24"/>
                <w:highlight w:val="none"/>
                <w:lang w:bidi="en-US"/>
              </w:rPr>
            </w:pPr>
            <w:r>
              <w:rPr>
                <w:rFonts w:hint="eastAsia" w:ascii="宋体" w:hAnsi="宋体" w:cs="宋体"/>
                <w:bCs/>
                <w:sz w:val="24"/>
                <w:highlight w:val="none"/>
              </w:rPr>
              <w:t>接口类型</w:t>
            </w:r>
          </w:p>
        </w:tc>
        <w:tc>
          <w:tcPr>
            <w:tcW w:w="4267" w:type="dxa"/>
            <w:vAlign w:val="center"/>
          </w:tcPr>
          <w:p w14:paraId="6DFF6E4D">
            <w:pPr>
              <w:jc w:val="left"/>
              <w:rPr>
                <w:rFonts w:hint="eastAsia" w:ascii="宋体" w:hAnsi="宋体" w:cs="宋体"/>
                <w:sz w:val="24"/>
                <w:highlight w:val="none"/>
                <w:lang w:bidi="en-US"/>
              </w:rPr>
            </w:pPr>
            <w:r>
              <w:rPr>
                <w:rFonts w:hint="eastAsia" w:ascii="宋体" w:hAnsi="宋体" w:cs="宋体"/>
                <w:sz w:val="24"/>
                <w:highlight w:val="none"/>
                <w:lang w:bidi="en-US"/>
              </w:rPr>
              <w:t>提供千兆光口或千兆电口</w:t>
            </w:r>
          </w:p>
        </w:tc>
        <w:tc>
          <w:tcPr>
            <w:tcW w:w="2198" w:type="dxa"/>
            <w:vMerge w:val="continue"/>
            <w:vAlign w:val="center"/>
          </w:tcPr>
          <w:p w14:paraId="350F50CE">
            <w:pPr>
              <w:jc w:val="center"/>
              <w:rPr>
                <w:rFonts w:hint="eastAsia" w:ascii="宋体" w:hAnsi="宋体" w:cs="宋体"/>
                <w:sz w:val="24"/>
                <w:highlight w:val="none"/>
                <w:lang w:bidi="en-US"/>
              </w:rPr>
            </w:pPr>
          </w:p>
        </w:tc>
      </w:tr>
      <w:tr w14:paraId="4470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886F568">
            <w:pPr>
              <w:jc w:val="center"/>
              <w:rPr>
                <w:rFonts w:hint="eastAsia" w:ascii="宋体" w:hAnsi="宋体" w:cs="宋体"/>
                <w:bCs/>
                <w:sz w:val="24"/>
                <w:highlight w:val="none"/>
              </w:rPr>
            </w:pPr>
            <w:r>
              <w:rPr>
                <w:rFonts w:hint="eastAsia" w:ascii="宋体" w:hAnsi="宋体" w:cs="宋体"/>
                <w:bCs/>
                <w:sz w:val="24"/>
                <w:highlight w:val="none"/>
              </w:rPr>
              <w:t>3</w:t>
            </w:r>
          </w:p>
        </w:tc>
        <w:tc>
          <w:tcPr>
            <w:tcW w:w="613" w:type="dxa"/>
            <w:vAlign w:val="center"/>
          </w:tcPr>
          <w:p w14:paraId="08B73A1B">
            <w:pPr>
              <w:jc w:val="center"/>
              <w:rPr>
                <w:rFonts w:hint="eastAsia" w:ascii="宋体" w:hAnsi="宋体" w:cs="宋体"/>
                <w:sz w:val="24"/>
                <w:highlight w:val="none"/>
              </w:rPr>
            </w:pPr>
          </w:p>
        </w:tc>
        <w:tc>
          <w:tcPr>
            <w:tcW w:w="1708" w:type="dxa"/>
            <w:vAlign w:val="center"/>
          </w:tcPr>
          <w:p w14:paraId="7FC0DDD9">
            <w:pPr>
              <w:jc w:val="center"/>
              <w:rPr>
                <w:rFonts w:hint="eastAsia" w:ascii="宋体" w:hAnsi="宋体" w:cs="宋体"/>
                <w:bCs/>
                <w:sz w:val="24"/>
                <w:highlight w:val="none"/>
              </w:rPr>
            </w:pPr>
            <w:r>
              <w:rPr>
                <w:rFonts w:hint="eastAsia" w:ascii="宋体" w:hAnsi="宋体" w:cs="宋体"/>
                <w:bCs/>
                <w:sz w:val="24"/>
                <w:highlight w:val="none"/>
              </w:rPr>
              <w:t>独享要求</w:t>
            </w:r>
          </w:p>
        </w:tc>
        <w:tc>
          <w:tcPr>
            <w:tcW w:w="4267" w:type="dxa"/>
            <w:vAlign w:val="center"/>
          </w:tcPr>
          <w:p w14:paraId="7D55DA58">
            <w:pPr>
              <w:jc w:val="left"/>
              <w:rPr>
                <w:rFonts w:hint="eastAsia" w:ascii="宋体" w:hAnsi="宋体" w:cs="宋体"/>
                <w:sz w:val="24"/>
                <w:highlight w:val="none"/>
                <w:lang w:bidi="en-US"/>
              </w:rPr>
            </w:pPr>
            <w:r>
              <w:rPr>
                <w:rFonts w:hint="eastAsia" w:ascii="宋体" w:hAnsi="宋体" w:cs="仿宋_GB2312"/>
                <w:sz w:val="24"/>
                <w:highlight w:val="none"/>
              </w:rPr>
              <w:t>采购人接入设备出口至中标人骨干节点设备间带宽独享</w:t>
            </w:r>
            <w:r>
              <w:rPr>
                <w:rFonts w:hint="eastAsia" w:ascii="宋体" w:hAnsi="宋体" w:cs="宋体"/>
                <w:sz w:val="24"/>
                <w:highlight w:val="none"/>
                <w:lang w:bidi="en-US"/>
              </w:rPr>
              <w:t>。</w:t>
            </w:r>
          </w:p>
        </w:tc>
        <w:tc>
          <w:tcPr>
            <w:tcW w:w="2198" w:type="dxa"/>
            <w:vMerge w:val="continue"/>
            <w:vAlign w:val="center"/>
          </w:tcPr>
          <w:p w14:paraId="03752E34">
            <w:pPr>
              <w:jc w:val="center"/>
              <w:rPr>
                <w:rFonts w:hint="eastAsia" w:ascii="宋体" w:hAnsi="宋体" w:cs="宋体"/>
                <w:sz w:val="24"/>
                <w:highlight w:val="none"/>
                <w:lang w:bidi="en-US"/>
              </w:rPr>
            </w:pPr>
          </w:p>
        </w:tc>
      </w:tr>
      <w:tr w14:paraId="366F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595BD8A7">
            <w:pPr>
              <w:jc w:val="center"/>
              <w:rPr>
                <w:rFonts w:hint="eastAsia" w:ascii="宋体" w:hAnsi="宋体" w:cs="宋体"/>
                <w:bCs/>
                <w:sz w:val="24"/>
                <w:highlight w:val="none"/>
              </w:rPr>
            </w:pPr>
            <w:r>
              <w:rPr>
                <w:rFonts w:hint="eastAsia" w:ascii="宋体" w:hAnsi="宋体" w:cs="宋体"/>
                <w:bCs/>
                <w:sz w:val="24"/>
                <w:highlight w:val="none"/>
              </w:rPr>
              <w:t>4</w:t>
            </w:r>
          </w:p>
        </w:tc>
        <w:tc>
          <w:tcPr>
            <w:tcW w:w="613" w:type="dxa"/>
            <w:vAlign w:val="center"/>
          </w:tcPr>
          <w:p w14:paraId="00619619">
            <w:pPr>
              <w:jc w:val="center"/>
              <w:rPr>
                <w:rFonts w:hint="eastAsia" w:ascii="宋体" w:hAnsi="宋体" w:cs="宋体"/>
                <w:sz w:val="24"/>
                <w:highlight w:val="none"/>
              </w:rPr>
            </w:pPr>
          </w:p>
        </w:tc>
        <w:tc>
          <w:tcPr>
            <w:tcW w:w="1708" w:type="dxa"/>
            <w:vAlign w:val="center"/>
          </w:tcPr>
          <w:p w14:paraId="560B5EE7">
            <w:pPr>
              <w:jc w:val="center"/>
              <w:rPr>
                <w:rFonts w:hint="eastAsia" w:ascii="宋体" w:hAnsi="宋体" w:cs="宋体"/>
                <w:sz w:val="24"/>
                <w:highlight w:val="none"/>
              </w:rPr>
            </w:pPr>
            <w:r>
              <w:rPr>
                <w:rFonts w:hint="eastAsia" w:ascii="宋体" w:hAnsi="宋体" w:cs="宋体"/>
                <w:sz w:val="24"/>
                <w:highlight w:val="none"/>
              </w:rPr>
              <w:t>承诺可用率</w:t>
            </w:r>
          </w:p>
        </w:tc>
        <w:tc>
          <w:tcPr>
            <w:tcW w:w="4267" w:type="dxa"/>
            <w:vAlign w:val="center"/>
          </w:tcPr>
          <w:p w14:paraId="3B9DA7E0">
            <w:pPr>
              <w:rPr>
                <w:rFonts w:hint="eastAsia" w:ascii="宋体" w:hAnsi="宋体" w:cs="宋体"/>
                <w:sz w:val="24"/>
                <w:highlight w:val="none"/>
              </w:rPr>
            </w:pPr>
            <w:r>
              <w:rPr>
                <w:rFonts w:hint="eastAsia" w:ascii="宋体" w:hAnsi="宋体" w:cs="宋体"/>
                <w:sz w:val="24"/>
                <w:highlight w:val="none"/>
              </w:rPr>
              <w:t>承诺互联网专线带宽可用率≥99.9%</w:t>
            </w:r>
          </w:p>
        </w:tc>
        <w:tc>
          <w:tcPr>
            <w:tcW w:w="2198" w:type="dxa"/>
            <w:vMerge w:val="continue"/>
            <w:vAlign w:val="center"/>
          </w:tcPr>
          <w:p w14:paraId="142641C6">
            <w:pPr>
              <w:jc w:val="center"/>
              <w:rPr>
                <w:rFonts w:hint="eastAsia" w:ascii="宋体" w:hAnsi="宋体" w:cs="宋体"/>
                <w:sz w:val="24"/>
                <w:highlight w:val="none"/>
                <w:lang w:bidi="en-US"/>
              </w:rPr>
            </w:pPr>
          </w:p>
        </w:tc>
      </w:tr>
      <w:tr w14:paraId="308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293D2BDB">
            <w:pPr>
              <w:jc w:val="center"/>
              <w:rPr>
                <w:rFonts w:hint="eastAsia" w:ascii="宋体" w:hAnsi="宋体" w:cs="宋体"/>
                <w:bCs/>
                <w:sz w:val="24"/>
                <w:highlight w:val="none"/>
              </w:rPr>
            </w:pPr>
            <w:r>
              <w:rPr>
                <w:rFonts w:hint="eastAsia" w:ascii="宋体" w:hAnsi="宋体" w:cs="宋体"/>
                <w:bCs/>
                <w:sz w:val="24"/>
                <w:highlight w:val="none"/>
              </w:rPr>
              <w:t>5</w:t>
            </w:r>
          </w:p>
        </w:tc>
        <w:tc>
          <w:tcPr>
            <w:tcW w:w="613" w:type="dxa"/>
            <w:vAlign w:val="center"/>
          </w:tcPr>
          <w:p w14:paraId="42B7F41A">
            <w:pPr>
              <w:jc w:val="center"/>
              <w:rPr>
                <w:rFonts w:hint="eastAsia" w:ascii="宋体" w:hAnsi="宋体" w:cs="宋体"/>
                <w:sz w:val="24"/>
                <w:highlight w:val="none"/>
              </w:rPr>
            </w:pPr>
            <w:r>
              <w:rPr>
                <w:rFonts w:hint="eastAsia" w:ascii="宋体" w:hAnsi="宋体" w:cs="宋体"/>
                <w:sz w:val="24"/>
                <w:highlight w:val="none"/>
              </w:rPr>
              <w:t>#</w:t>
            </w:r>
          </w:p>
        </w:tc>
        <w:tc>
          <w:tcPr>
            <w:tcW w:w="1708" w:type="dxa"/>
            <w:vAlign w:val="center"/>
          </w:tcPr>
          <w:p w14:paraId="1F89A36F">
            <w:pPr>
              <w:jc w:val="center"/>
              <w:rPr>
                <w:rFonts w:hint="eastAsia" w:ascii="宋体" w:hAnsi="宋体" w:cs="宋体"/>
                <w:sz w:val="24"/>
                <w:highlight w:val="none"/>
              </w:rPr>
            </w:pPr>
            <w:r>
              <w:rPr>
                <w:rFonts w:hint="eastAsia" w:ascii="宋体" w:hAnsi="宋体" w:cs="宋体"/>
                <w:sz w:val="24"/>
                <w:highlight w:val="none"/>
              </w:rPr>
              <w:t>平均时延要求</w:t>
            </w:r>
          </w:p>
        </w:tc>
        <w:tc>
          <w:tcPr>
            <w:tcW w:w="4267" w:type="dxa"/>
            <w:vAlign w:val="center"/>
          </w:tcPr>
          <w:p w14:paraId="5DFF16A5">
            <w:pPr>
              <w:jc w:val="center"/>
              <w:rPr>
                <w:rFonts w:hint="eastAsia" w:ascii="宋体" w:hAnsi="宋体" w:cs="宋体"/>
                <w:sz w:val="24"/>
                <w:highlight w:val="none"/>
              </w:rPr>
            </w:pPr>
            <w:r>
              <w:rPr>
                <w:rFonts w:hint="eastAsia" w:ascii="宋体" w:hAnsi="宋体" w:cs="宋体"/>
                <w:sz w:val="24"/>
                <w:highlight w:val="none"/>
              </w:rPr>
              <w:t>平均时延≤40ms</w:t>
            </w:r>
          </w:p>
        </w:tc>
        <w:tc>
          <w:tcPr>
            <w:tcW w:w="2198" w:type="dxa"/>
            <w:vMerge w:val="continue"/>
            <w:vAlign w:val="center"/>
          </w:tcPr>
          <w:p w14:paraId="171E616D">
            <w:pPr>
              <w:jc w:val="center"/>
              <w:rPr>
                <w:rFonts w:hint="eastAsia" w:ascii="宋体" w:hAnsi="宋体" w:cs="宋体"/>
                <w:sz w:val="24"/>
                <w:highlight w:val="none"/>
                <w:lang w:bidi="en-US"/>
              </w:rPr>
            </w:pPr>
          </w:p>
        </w:tc>
      </w:tr>
      <w:tr w14:paraId="6149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232F959E">
            <w:pPr>
              <w:jc w:val="center"/>
              <w:rPr>
                <w:rFonts w:hint="eastAsia" w:ascii="宋体" w:hAnsi="宋体" w:cs="宋体"/>
                <w:bCs/>
                <w:sz w:val="24"/>
                <w:highlight w:val="none"/>
              </w:rPr>
            </w:pPr>
            <w:r>
              <w:rPr>
                <w:rFonts w:hint="eastAsia" w:ascii="宋体" w:hAnsi="宋体" w:cs="宋体"/>
                <w:bCs/>
                <w:sz w:val="24"/>
                <w:highlight w:val="none"/>
              </w:rPr>
              <w:t>6</w:t>
            </w:r>
          </w:p>
        </w:tc>
        <w:tc>
          <w:tcPr>
            <w:tcW w:w="613" w:type="dxa"/>
            <w:vAlign w:val="center"/>
          </w:tcPr>
          <w:p w14:paraId="76E364DB">
            <w:pPr>
              <w:jc w:val="center"/>
              <w:rPr>
                <w:rFonts w:hint="eastAsia" w:ascii="宋体" w:hAnsi="宋体" w:cs="宋体"/>
                <w:sz w:val="24"/>
                <w:highlight w:val="none"/>
              </w:rPr>
            </w:pPr>
            <w:r>
              <w:rPr>
                <w:rFonts w:hint="eastAsia" w:ascii="宋体" w:hAnsi="宋体" w:cs="宋体"/>
                <w:sz w:val="24"/>
                <w:highlight w:val="none"/>
              </w:rPr>
              <w:t>#</w:t>
            </w:r>
          </w:p>
        </w:tc>
        <w:tc>
          <w:tcPr>
            <w:tcW w:w="1708" w:type="dxa"/>
            <w:vAlign w:val="center"/>
          </w:tcPr>
          <w:p w14:paraId="519EF2BE">
            <w:pPr>
              <w:jc w:val="center"/>
              <w:rPr>
                <w:rFonts w:hint="eastAsia" w:ascii="宋体" w:hAnsi="宋体" w:cs="宋体"/>
                <w:sz w:val="24"/>
                <w:highlight w:val="none"/>
              </w:rPr>
            </w:pPr>
            <w:r>
              <w:rPr>
                <w:rFonts w:hint="eastAsia" w:ascii="宋体" w:hAnsi="宋体" w:cs="宋体"/>
                <w:sz w:val="24"/>
                <w:highlight w:val="none"/>
              </w:rPr>
              <w:t>平均丢包率要求</w:t>
            </w:r>
          </w:p>
        </w:tc>
        <w:tc>
          <w:tcPr>
            <w:tcW w:w="4267" w:type="dxa"/>
            <w:vAlign w:val="center"/>
          </w:tcPr>
          <w:p w14:paraId="44359FFA">
            <w:pPr>
              <w:jc w:val="center"/>
              <w:rPr>
                <w:rFonts w:hint="eastAsia" w:ascii="宋体" w:hAnsi="宋体" w:cs="宋体"/>
                <w:sz w:val="24"/>
                <w:highlight w:val="none"/>
              </w:rPr>
            </w:pPr>
            <w:r>
              <w:rPr>
                <w:rFonts w:hint="eastAsia" w:ascii="宋体" w:hAnsi="宋体" w:cs="宋体"/>
                <w:sz w:val="24"/>
                <w:highlight w:val="none"/>
              </w:rPr>
              <w:t>平均丢包率：≤0.75%</w:t>
            </w:r>
          </w:p>
        </w:tc>
        <w:tc>
          <w:tcPr>
            <w:tcW w:w="2198" w:type="dxa"/>
            <w:vMerge w:val="continue"/>
            <w:vAlign w:val="center"/>
          </w:tcPr>
          <w:p w14:paraId="6CA5E547">
            <w:pPr>
              <w:jc w:val="center"/>
              <w:rPr>
                <w:rFonts w:hint="eastAsia" w:ascii="宋体" w:hAnsi="宋体" w:cs="宋体"/>
                <w:sz w:val="24"/>
                <w:highlight w:val="none"/>
                <w:lang w:bidi="en-US"/>
              </w:rPr>
            </w:pPr>
          </w:p>
        </w:tc>
      </w:tr>
      <w:tr w14:paraId="467F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49AF9213">
            <w:pPr>
              <w:jc w:val="center"/>
              <w:rPr>
                <w:rFonts w:hint="eastAsia" w:ascii="宋体" w:hAnsi="宋体" w:cs="宋体"/>
                <w:bCs/>
                <w:sz w:val="24"/>
                <w:highlight w:val="none"/>
              </w:rPr>
            </w:pPr>
            <w:r>
              <w:rPr>
                <w:rFonts w:hint="eastAsia" w:ascii="宋体" w:hAnsi="宋体" w:cs="宋体"/>
                <w:bCs/>
                <w:sz w:val="24"/>
                <w:highlight w:val="none"/>
              </w:rPr>
              <w:t>7</w:t>
            </w:r>
          </w:p>
        </w:tc>
        <w:tc>
          <w:tcPr>
            <w:tcW w:w="613" w:type="dxa"/>
            <w:vAlign w:val="center"/>
          </w:tcPr>
          <w:p w14:paraId="01C78C13">
            <w:pPr>
              <w:jc w:val="center"/>
              <w:rPr>
                <w:rFonts w:hint="eastAsia" w:ascii="宋体" w:hAnsi="宋体" w:cs="宋体"/>
                <w:sz w:val="24"/>
                <w:highlight w:val="none"/>
              </w:rPr>
            </w:pPr>
          </w:p>
        </w:tc>
        <w:tc>
          <w:tcPr>
            <w:tcW w:w="1708" w:type="dxa"/>
            <w:vAlign w:val="center"/>
          </w:tcPr>
          <w:p w14:paraId="49974290">
            <w:pPr>
              <w:jc w:val="center"/>
              <w:rPr>
                <w:rFonts w:hint="eastAsia" w:ascii="宋体" w:hAnsi="宋体" w:cs="宋体"/>
                <w:b/>
                <w:sz w:val="24"/>
                <w:highlight w:val="none"/>
              </w:rPr>
            </w:pPr>
            <w:r>
              <w:rPr>
                <w:rFonts w:hint="eastAsia" w:ascii="宋体" w:hAnsi="宋体" w:cs="宋体"/>
                <w:bCs/>
                <w:sz w:val="24"/>
                <w:highlight w:val="none"/>
              </w:rPr>
              <w:t>网络建设要求</w:t>
            </w:r>
          </w:p>
        </w:tc>
        <w:tc>
          <w:tcPr>
            <w:tcW w:w="4267" w:type="dxa"/>
            <w:vAlign w:val="center"/>
          </w:tcPr>
          <w:p w14:paraId="7856A567">
            <w:pPr>
              <w:jc w:val="left"/>
              <w:rPr>
                <w:rFonts w:hint="eastAsia" w:ascii="宋体" w:hAnsi="宋体" w:cs="宋体"/>
                <w:b/>
                <w:sz w:val="24"/>
                <w:highlight w:val="none"/>
              </w:rPr>
            </w:pPr>
            <w:r>
              <w:rPr>
                <w:rFonts w:hint="eastAsia" w:ascii="宋体" w:hAnsi="宋体" w:cs="宋体"/>
                <w:bCs/>
                <w:sz w:val="24"/>
                <w:highlight w:val="none"/>
              </w:rPr>
              <w:t>本项目建设地点为</w:t>
            </w:r>
            <w:r>
              <w:rPr>
                <w:rFonts w:hint="eastAsia" w:ascii="宋体" w:hAnsi="宋体" w:cs="宋体"/>
                <w:bCs/>
                <w:sz w:val="24"/>
                <w:highlight w:val="none"/>
                <w:lang w:eastAsia="zh-CN"/>
              </w:rPr>
              <w:t>北京城市图书馆</w:t>
            </w:r>
            <w:r>
              <w:rPr>
                <w:rFonts w:hint="eastAsia" w:ascii="宋体" w:hAnsi="宋体" w:cs="宋体"/>
                <w:bCs/>
                <w:sz w:val="24"/>
                <w:highlight w:val="none"/>
              </w:rPr>
              <w:t>，须提供相关的接入设备，并提供相关网络资源及服务人员配合</w:t>
            </w:r>
            <w:r>
              <w:rPr>
                <w:rFonts w:hint="eastAsia" w:ascii="宋体" w:hAnsi="宋体" w:cs="宋体"/>
                <w:bCs/>
                <w:sz w:val="24"/>
                <w:highlight w:val="none"/>
                <w:lang w:eastAsia="zh-CN"/>
              </w:rPr>
              <w:t>北京城市图书馆</w:t>
            </w:r>
            <w:r>
              <w:rPr>
                <w:rFonts w:hint="eastAsia" w:ascii="宋体" w:hAnsi="宋体" w:cs="宋体"/>
                <w:bCs/>
                <w:sz w:val="24"/>
                <w:highlight w:val="none"/>
              </w:rPr>
              <w:t>完成网络架构调整。</w:t>
            </w:r>
          </w:p>
        </w:tc>
        <w:tc>
          <w:tcPr>
            <w:tcW w:w="2198" w:type="dxa"/>
            <w:vAlign w:val="center"/>
          </w:tcPr>
          <w:p w14:paraId="6278F97E">
            <w:pPr>
              <w:jc w:val="center"/>
              <w:rPr>
                <w:rFonts w:hint="eastAsia" w:ascii="宋体" w:hAnsi="宋体" w:cs="宋体"/>
                <w:b/>
                <w:sz w:val="24"/>
                <w:highlight w:val="none"/>
              </w:rPr>
            </w:pPr>
          </w:p>
        </w:tc>
      </w:tr>
    </w:tbl>
    <w:p w14:paraId="23612E26">
      <w:pPr>
        <w:rPr>
          <w:highlight w:val="none"/>
        </w:rPr>
      </w:pPr>
    </w:p>
    <w:p w14:paraId="3F22DE73">
      <w:pPr>
        <w:pStyle w:val="2"/>
        <w:rPr>
          <w:rFonts w:hint="eastAsia"/>
          <w:highlight w:val="none"/>
        </w:rPr>
      </w:pPr>
    </w:p>
    <w:p w14:paraId="31AC1237">
      <w:pPr>
        <w:pStyle w:val="4"/>
        <w:snapToGrid w:val="0"/>
        <w:spacing w:line="560" w:lineRule="exact"/>
        <w:rPr>
          <w:rFonts w:hint="eastAsia" w:hAnsi="宋体"/>
          <w:szCs w:val="24"/>
          <w:highlight w:val="none"/>
        </w:rPr>
      </w:pPr>
      <w:r>
        <w:rPr>
          <w:rFonts w:hint="eastAsia" w:hAnsi="宋体"/>
          <w:szCs w:val="24"/>
          <w:highlight w:val="none"/>
        </w:rPr>
        <w:t>2.链路要求</w:t>
      </w:r>
      <w:r>
        <w:rPr>
          <w:rFonts w:hAnsi="宋体"/>
          <w:szCs w:val="24"/>
          <w:highlight w:val="none"/>
        </w:rPr>
        <w:t xml:space="preserve"> </w:t>
      </w:r>
    </w:p>
    <w:p w14:paraId="23F216B8">
      <w:pPr>
        <w:tabs>
          <w:tab w:val="left" w:pos="525"/>
        </w:tabs>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确保为本项目提供的互联网专线服务具备资源可控性、高可用性与优质性能，对投标人网络基础资源及架构提出如下明确要求：</w:t>
      </w:r>
    </w:p>
    <w:p w14:paraId="5EF679F3">
      <w:pPr>
        <w:tabs>
          <w:tab w:val="left" w:pos="525"/>
        </w:tabs>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1）为保证服务链路的稳定可靠与长期服务能力，避免因资源权属不清或多次转接引入的不确定性风险，投标人为本项目提供的端到端物理传输链路及最终互联网带宽出口，需为投标人自建、自有的核心网络资源，或在本项目</w:t>
      </w:r>
      <w:r>
        <w:rPr>
          <w:rFonts w:hint="eastAsia" w:ascii="宋体" w:hAnsi="宋体" w:cs="仿宋_GB2312"/>
          <w:sz w:val="24"/>
          <w:highlight w:val="none"/>
          <w:lang w:val="en-US" w:eastAsia="zh-CN"/>
        </w:rPr>
        <w:t>采购人</w:t>
      </w:r>
      <w:r>
        <w:rPr>
          <w:rFonts w:hint="eastAsia" w:ascii="宋体" w:hAnsi="宋体" w:cs="仿宋_GB2312"/>
          <w:sz w:val="24"/>
          <w:highlight w:val="none"/>
        </w:rPr>
        <w:t>指定的服务区域内已持有合法、有效且长期的管道（或光纤）租用协议。</w:t>
      </w:r>
    </w:p>
    <w:p w14:paraId="105ED0D1">
      <w:pPr>
        <w:tabs>
          <w:tab w:val="left" w:pos="525"/>
        </w:tabs>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（2）网络架构与性能要求</w:t>
      </w:r>
    </w:p>
    <w:p w14:paraId="60A35901">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为保证为本项目提供的网络服务具备高稳定性、低故障率与低延迟特性，投标人需确保其网络架构能够实现从采购人指定的出口设备接入点至其自有骨干网络节点的最短路径、最优路由接入。</w:t>
      </w:r>
    </w:p>
    <w:p w14:paraId="2F12B0A5">
      <w:pPr>
        <w:pStyle w:val="4"/>
        <w:snapToGrid w:val="0"/>
        <w:spacing w:line="560" w:lineRule="exact"/>
        <w:rPr>
          <w:rFonts w:hint="eastAsia" w:hAnsi="宋体"/>
          <w:szCs w:val="24"/>
          <w:highlight w:val="none"/>
        </w:rPr>
      </w:pPr>
      <w:r>
        <w:rPr>
          <w:rFonts w:hint="eastAsia" w:hAnsi="宋体"/>
          <w:szCs w:val="24"/>
          <w:highlight w:val="none"/>
        </w:rPr>
        <w:t>3.周边资源覆盖要求</w:t>
      </w:r>
    </w:p>
    <w:p w14:paraId="6B66DC47">
      <w:pPr>
        <w:tabs>
          <w:tab w:val="left" w:pos="525"/>
        </w:tabs>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为确保项目的服务响应效率、故障处理的及时性以及未来网络扩展的便利性，投标人必须具备在</w:t>
      </w:r>
      <w:r>
        <w:rPr>
          <w:rFonts w:hint="eastAsia" w:ascii="宋体" w:hAnsi="宋体" w:cs="仿宋_GB2312"/>
          <w:sz w:val="24"/>
          <w:highlight w:val="none"/>
          <w:lang w:val="en-US" w:eastAsia="zh-CN"/>
        </w:rPr>
        <w:t>采购人</w:t>
      </w:r>
      <w:r>
        <w:rPr>
          <w:rFonts w:hint="eastAsia" w:ascii="宋体" w:hAnsi="宋体" w:cs="仿宋_GB2312"/>
          <w:sz w:val="24"/>
          <w:highlight w:val="none"/>
        </w:rPr>
        <w:t>所在区域及周边具备切实、可验证的网络资源覆盖与快速接入能力。</w:t>
      </w:r>
    </w:p>
    <w:p w14:paraId="64F2A9D9">
      <w:pPr>
        <w:pStyle w:val="4"/>
        <w:snapToGrid w:val="0"/>
        <w:spacing w:line="560" w:lineRule="exact"/>
        <w:rPr>
          <w:rFonts w:hint="eastAsia" w:hAnsi="宋体"/>
          <w:szCs w:val="24"/>
          <w:highlight w:val="none"/>
        </w:rPr>
      </w:pPr>
      <w:r>
        <w:rPr>
          <w:rFonts w:hint="eastAsia" w:hAnsi="宋体"/>
          <w:szCs w:val="24"/>
          <w:highlight w:val="none"/>
        </w:rPr>
        <w:t>4.海外资源访问要求</w:t>
      </w:r>
    </w:p>
    <w:p w14:paraId="59765479">
      <w:pPr>
        <w:tabs>
          <w:tab w:val="left" w:pos="525"/>
        </w:tabs>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为保障采购人海外资源访问需求，要求投标人具备海外出口带宽。投标人</w:t>
      </w:r>
      <w:r>
        <w:rPr>
          <w:rFonts w:hint="eastAsia" w:ascii="宋体" w:hAnsi="宋体" w:cs="仿宋_GB2312"/>
          <w:sz w:val="24"/>
          <w:highlight w:val="none"/>
          <w:lang w:eastAsia="zh-CN"/>
        </w:rPr>
        <w:t>具备自有或租用的</w:t>
      </w:r>
      <w:r>
        <w:rPr>
          <w:rFonts w:hint="eastAsia" w:ascii="宋体" w:hAnsi="宋体" w:cs="仿宋_GB2312"/>
          <w:sz w:val="24"/>
          <w:highlight w:val="none"/>
        </w:rPr>
        <w:t>国际互联出口，且具备骨干网络国际出口带宽。</w:t>
      </w:r>
    </w:p>
    <w:p w14:paraId="07D7B5B5">
      <w:pPr>
        <w:pStyle w:val="4"/>
        <w:snapToGrid w:val="0"/>
        <w:spacing w:line="560" w:lineRule="exact"/>
        <w:rPr>
          <w:rFonts w:hint="eastAsia" w:hAnsi="宋体"/>
          <w:szCs w:val="24"/>
          <w:highlight w:val="none"/>
        </w:rPr>
      </w:pPr>
      <w:r>
        <w:rPr>
          <w:rFonts w:hint="eastAsia" w:hAnsi="宋体"/>
          <w:szCs w:val="24"/>
          <w:highlight w:val="none"/>
        </w:rPr>
        <w:t>5.项目实施要求</w:t>
      </w:r>
    </w:p>
    <w:p w14:paraId="6BE0BA2B">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为保障项目的顺利实施与有效交付，投标人须针对本项目特点编制详细且具针对性的技术及服务实施方案。</w:t>
      </w:r>
    </w:p>
    <w:p w14:paraId="5A21BBEB">
      <w:pPr>
        <w:tabs>
          <w:tab w:val="left" w:pos="525"/>
        </w:tabs>
        <w:spacing w:line="360" w:lineRule="auto"/>
        <w:ind w:firstLine="480" w:firstLineChars="200"/>
        <w:rPr>
          <w:rFonts w:hint="eastAsia" w:ascii="宋体" w:hAnsi="宋体" w:cs="仿宋_GB2312"/>
          <w:sz w:val="24"/>
          <w:highlight w:val="none"/>
        </w:rPr>
      </w:pPr>
      <w:r>
        <w:rPr>
          <w:rFonts w:hint="eastAsia" w:ascii="宋体" w:hAnsi="宋体" w:cs="仿宋_GB2312"/>
          <w:sz w:val="24"/>
          <w:highlight w:val="none"/>
        </w:rPr>
        <w:t>提供项目实施方案，</w:t>
      </w:r>
      <w:r>
        <w:rPr>
          <w:rFonts w:ascii="宋体" w:hAnsi="宋体" w:cs="仿宋_GB2312"/>
          <w:sz w:val="24"/>
          <w:highlight w:val="none"/>
        </w:rPr>
        <w:t>阐述为履行本项目合同而设立的项目组织管理体系</w:t>
      </w:r>
      <w:r>
        <w:rPr>
          <w:rFonts w:hint="eastAsia" w:ascii="宋体" w:hAnsi="宋体" w:cs="仿宋_GB2312"/>
          <w:sz w:val="24"/>
          <w:highlight w:val="none"/>
        </w:rPr>
        <w:t>，</w:t>
      </w:r>
      <w:r>
        <w:rPr>
          <w:rFonts w:ascii="宋体" w:hAnsi="宋体" w:cs="仿宋_GB2312"/>
          <w:sz w:val="24"/>
          <w:highlight w:val="none"/>
        </w:rPr>
        <w:t>明确拟投入本项目的核心管理与技术人员名单</w:t>
      </w:r>
      <w:r>
        <w:rPr>
          <w:rFonts w:hint="eastAsia" w:ascii="宋体" w:hAnsi="宋体" w:cs="仿宋_GB2312"/>
          <w:sz w:val="24"/>
          <w:highlight w:val="none"/>
        </w:rPr>
        <w:t>，</w:t>
      </w:r>
      <w:r>
        <w:rPr>
          <w:rFonts w:ascii="宋体" w:hAnsi="宋体" w:cs="仿宋_GB2312"/>
          <w:sz w:val="24"/>
          <w:highlight w:val="none"/>
        </w:rPr>
        <w:t>并清晰界定其在项目中的具体职责与分工。</w:t>
      </w:r>
      <w:r>
        <w:rPr>
          <w:rFonts w:hint="eastAsia" w:ascii="宋体" w:hAnsi="宋体" w:cs="仿宋_GB2312"/>
          <w:sz w:val="24"/>
          <w:highlight w:val="none"/>
        </w:rPr>
        <w:t>应提供详细的网络资源部署与线路实施方案，</w:t>
      </w:r>
      <w:r>
        <w:rPr>
          <w:rFonts w:ascii="宋体" w:hAnsi="宋体" w:cs="仿宋_GB2312"/>
          <w:sz w:val="24"/>
          <w:highlight w:val="none"/>
        </w:rPr>
        <w:t>详细说明为满足本项目的具体带宽与性能需求，所规划的网络节点部署位置</w:t>
      </w:r>
      <w:r>
        <w:rPr>
          <w:rFonts w:hint="eastAsia" w:ascii="宋体" w:hAnsi="宋体" w:cs="仿宋_GB2312"/>
          <w:sz w:val="24"/>
          <w:highlight w:val="none"/>
        </w:rPr>
        <w:t>，清晰的开通线路路由设计图。提供完整的项目实施进度计划表，覆盖</w:t>
      </w:r>
      <w:r>
        <w:rPr>
          <w:rFonts w:ascii="宋体" w:hAnsi="宋体" w:cs="仿宋_GB2312"/>
          <w:sz w:val="24"/>
          <w:highlight w:val="none"/>
        </w:rPr>
        <w:t>从合同生效至全部服务交付完成的全过程</w:t>
      </w:r>
      <w:r>
        <w:rPr>
          <w:rFonts w:hint="eastAsia" w:ascii="宋体" w:hAnsi="宋体" w:cs="仿宋_GB2312"/>
          <w:sz w:val="24"/>
          <w:highlight w:val="none"/>
        </w:rPr>
        <w:t>。</w:t>
      </w:r>
    </w:p>
    <w:p w14:paraId="0E8836B0">
      <w:pPr>
        <w:adjustRightInd w:val="0"/>
        <w:snapToGrid w:val="0"/>
        <w:spacing w:line="560" w:lineRule="exact"/>
        <w:ind w:firstLine="480" w:firstLineChars="200"/>
        <w:jc w:val="left"/>
        <w:textAlignment w:val="baseline"/>
        <w:rPr>
          <w:rFonts w:hint="eastAsia" w:ascii="宋体" w:hAnsi="宋体" w:cs="仿宋_GB2312"/>
          <w:sz w:val="24"/>
          <w:highlight w:val="none"/>
        </w:rPr>
      </w:pPr>
      <w:r>
        <w:rPr>
          <w:rFonts w:hint="eastAsia" w:ascii="宋体" w:hAnsi="宋体" w:cs="仿宋_GB2312"/>
          <w:sz w:val="24"/>
          <w:highlight w:val="none"/>
        </w:rPr>
        <w:t>（1）投标人应保证合同签订后3个工作日内（含3个工作日）完成专线开通。</w:t>
      </w:r>
    </w:p>
    <w:p w14:paraId="2D43393D">
      <w:pPr>
        <w:adjustRightInd w:val="0"/>
        <w:snapToGrid w:val="0"/>
        <w:spacing w:line="560" w:lineRule="exact"/>
        <w:ind w:firstLine="480" w:firstLineChars="200"/>
        <w:jc w:val="left"/>
        <w:textAlignment w:val="baseline"/>
        <w:rPr>
          <w:rFonts w:hint="eastAsia" w:ascii="宋体" w:hAnsi="宋体" w:cs="仿宋_GB2312"/>
          <w:sz w:val="24"/>
          <w:highlight w:val="none"/>
        </w:rPr>
      </w:pPr>
      <w:r>
        <w:rPr>
          <w:rFonts w:hint="eastAsia" w:ascii="宋体" w:hAnsi="宋体" w:cs="仿宋_GB2312"/>
          <w:sz w:val="24"/>
          <w:highlight w:val="none"/>
        </w:rPr>
        <w:t>（2）项目实施过程控制：提供项目实施方案，说明如何利用人力及其它资源来承担其合同项下整体的项目顺利实施及按期交付。该方案应包括服务组织架构、人员组成及职责、服务商针对所需带宽的节点部署及线路情况，并提供详细的实施计划进度表，需标明完成合同所有关键活动的预计时间。</w:t>
      </w:r>
    </w:p>
    <w:p w14:paraId="2078E620">
      <w:pPr>
        <w:numPr>
          <w:ilvl w:val="0"/>
          <w:numId w:val="0"/>
        </w:numPr>
        <w:adjustRightInd w:val="0"/>
        <w:snapToGrid w:val="0"/>
        <w:spacing w:line="560" w:lineRule="exact"/>
        <w:ind w:firstLine="480" w:firstLineChars="200"/>
        <w:jc w:val="left"/>
        <w:textAlignment w:val="baseline"/>
        <w:rPr>
          <w:rFonts w:hint="eastAsia" w:ascii="宋体" w:hAnsi="宋体" w:cs="仿宋_GB2312"/>
          <w:sz w:val="24"/>
          <w:highlight w:val="none"/>
        </w:rPr>
      </w:pPr>
      <w:r>
        <w:rPr>
          <w:rFonts w:hint="eastAsia" w:ascii="宋体" w:hAnsi="宋体" w:cs="仿宋_GB2312"/>
          <w:sz w:val="24"/>
          <w:highlight w:val="none"/>
        </w:rPr>
        <w:t>（3）项目实施文档管理承诺：项目实施过程中所收集、产生的所有与本项目相关文档、资料， 包括文字、图片、表格、数字等各种形式所属权均归属采购人，投标人有义务对所涉及到的内容保密，应按照要求签署保密协议。投标人不得以任何形式向第三方透露本项目标书以及本项目的任何内容。</w:t>
      </w:r>
    </w:p>
    <w:p w14:paraId="676D0145">
      <w:pPr>
        <w:pStyle w:val="4"/>
        <w:numPr>
          <w:ilvl w:val="0"/>
          <w:numId w:val="2"/>
        </w:numPr>
        <w:snapToGrid w:val="0"/>
        <w:spacing w:line="560" w:lineRule="exact"/>
        <w:rPr>
          <w:rFonts w:hint="eastAsia" w:hAnsi="宋体"/>
          <w:szCs w:val="24"/>
          <w:highlight w:val="none"/>
        </w:rPr>
      </w:pPr>
      <w:r>
        <w:rPr>
          <w:rFonts w:hint="eastAsia" w:hAnsi="宋体"/>
          <w:szCs w:val="24"/>
          <w:highlight w:val="none"/>
          <w:lang w:val="en-US" w:eastAsia="zh-CN"/>
        </w:rPr>
        <w:t>系统割接</w:t>
      </w:r>
      <w:r>
        <w:rPr>
          <w:rFonts w:hint="eastAsia" w:hAnsi="宋体"/>
          <w:szCs w:val="24"/>
          <w:highlight w:val="none"/>
        </w:rPr>
        <w:t>要求</w:t>
      </w:r>
    </w:p>
    <w:p w14:paraId="21BC3AC1">
      <w:pPr>
        <w:numPr>
          <w:ilvl w:val="0"/>
          <w:numId w:val="0"/>
        </w:numPr>
        <w:adjustRightInd w:val="0"/>
        <w:snapToGrid w:val="0"/>
        <w:spacing w:line="560" w:lineRule="exact"/>
        <w:ind w:firstLine="480" w:firstLineChars="200"/>
        <w:jc w:val="left"/>
        <w:textAlignment w:val="baseline"/>
        <w:rPr>
          <w:rFonts w:hint="eastAsia" w:ascii="宋体" w:hAnsi="宋体" w:cs="仿宋_GB2312"/>
          <w:sz w:val="24"/>
          <w:highlight w:val="none"/>
        </w:rPr>
      </w:pPr>
      <w:r>
        <w:rPr>
          <w:rFonts w:hint="eastAsia" w:ascii="宋体" w:hAnsi="宋体" w:cs="仿宋_GB2312"/>
          <w:sz w:val="24"/>
          <w:highlight w:val="none"/>
          <w:lang w:eastAsia="zh-CN"/>
        </w:rPr>
        <w:t>（</w:t>
      </w:r>
      <w:r>
        <w:rPr>
          <w:rFonts w:hint="eastAsia" w:ascii="宋体" w:hAnsi="宋体" w:cs="仿宋_GB2312"/>
          <w:sz w:val="24"/>
          <w:highlight w:val="none"/>
          <w:lang w:val="en-US" w:eastAsia="zh-CN"/>
        </w:rPr>
        <w:t>1）</w:t>
      </w:r>
      <w:r>
        <w:rPr>
          <w:rFonts w:hint="eastAsia" w:ascii="宋体" w:hAnsi="宋体" w:cs="仿宋_GB2312"/>
          <w:sz w:val="24"/>
          <w:highlight w:val="none"/>
        </w:rPr>
        <w:t>投标人需全力配合采购人完成系统网络割接、网站备案等相关工作，全程提供专业技术支持，确保各项工作合规有序推进。</w:t>
      </w:r>
    </w:p>
    <w:p w14:paraId="4984CB92">
      <w:pPr>
        <w:numPr>
          <w:ilvl w:val="0"/>
          <w:numId w:val="0"/>
        </w:numPr>
        <w:adjustRightInd w:val="0"/>
        <w:snapToGrid w:val="0"/>
        <w:spacing w:line="560" w:lineRule="exact"/>
        <w:ind w:firstLine="480" w:firstLineChars="200"/>
        <w:jc w:val="left"/>
        <w:textAlignment w:val="baseline"/>
        <w:rPr>
          <w:rFonts w:hint="eastAsia" w:ascii="宋体" w:hAnsi="宋体" w:cs="仿宋_GB2312"/>
          <w:sz w:val="24"/>
          <w:highlight w:val="none"/>
        </w:rPr>
      </w:pPr>
      <w:r>
        <w:rPr>
          <w:rFonts w:hint="eastAsia" w:ascii="宋体" w:hAnsi="宋体" w:cs="仿宋_GB2312"/>
          <w:sz w:val="24"/>
          <w:highlight w:val="none"/>
          <w:lang w:eastAsia="zh-CN"/>
        </w:rPr>
        <w:t>（</w:t>
      </w:r>
      <w:r>
        <w:rPr>
          <w:rFonts w:hint="eastAsia" w:ascii="宋体" w:hAnsi="宋体" w:cs="仿宋_GB2312"/>
          <w:sz w:val="24"/>
          <w:highlight w:val="none"/>
          <w:lang w:val="en-US" w:eastAsia="zh-CN"/>
        </w:rPr>
        <w:t>2）</w:t>
      </w:r>
      <w:r>
        <w:rPr>
          <w:rFonts w:hint="eastAsia" w:ascii="宋体" w:hAnsi="宋体" w:cs="仿宋_GB2312"/>
          <w:sz w:val="24"/>
          <w:highlight w:val="none"/>
        </w:rPr>
        <w:t>针对采购人现有网站及网络应用，在割接及后续运行过程中如需进行调整，投标人需制定科学合理的调整方案，保障系统平滑过渡</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如在割接过程中与原服务商产生的费用由投标人自行承担</w:t>
      </w:r>
      <w:r>
        <w:rPr>
          <w:rFonts w:hint="eastAsia" w:ascii="宋体" w:hAnsi="宋体" w:cs="仿宋_GB2312"/>
          <w:sz w:val="24"/>
          <w:highlight w:val="none"/>
          <w:lang w:eastAsia="zh-CN"/>
        </w:rPr>
        <w:t>。</w:t>
      </w:r>
    </w:p>
    <w:p w14:paraId="29476132">
      <w:pPr>
        <w:numPr>
          <w:ilvl w:val="0"/>
          <w:numId w:val="0"/>
        </w:numPr>
        <w:adjustRightInd w:val="0"/>
        <w:snapToGrid w:val="0"/>
        <w:spacing w:line="560" w:lineRule="exact"/>
        <w:ind w:firstLine="480" w:firstLineChars="200"/>
        <w:jc w:val="left"/>
        <w:textAlignment w:val="baseline"/>
        <w:rPr>
          <w:rFonts w:hint="eastAsia"/>
          <w:highlight w:val="none"/>
        </w:rPr>
      </w:pPr>
      <w:r>
        <w:rPr>
          <w:rFonts w:hint="eastAsia" w:ascii="宋体" w:hAnsi="宋体" w:cs="仿宋_GB2312"/>
          <w:sz w:val="24"/>
          <w:highlight w:val="none"/>
          <w:lang w:eastAsia="zh-CN"/>
        </w:rPr>
        <w:t>（</w:t>
      </w:r>
      <w:r>
        <w:rPr>
          <w:rFonts w:hint="eastAsia" w:ascii="宋体" w:hAnsi="宋体" w:cs="仿宋_GB2312"/>
          <w:sz w:val="24"/>
          <w:highlight w:val="none"/>
          <w:lang w:val="en-US" w:eastAsia="zh-CN"/>
        </w:rPr>
        <w:t>3）</w:t>
      </w:r>
      <w:r>
        <w:rPr>
          <w:rFonts w:hint="eastAsia" w:ascii="宋体" w:hAnsi="宋体" w:cs="仿宋_GB2312"/>
          <w:sz w:val="24"/>
          <w:highlight w:val="none"/>
        </w:rPr>
        <w:t>投标人需在投标文件中明确承诺满足上述割接配合及调整周期要求，中标后需严格按照承诺执行。</w:t>
      </w:r>
    </w:p>
    <w:p w14:paraId="0313AB04">
      <w:pPr>
        <w:pStyle w:val="4"/>
        <w:numPr>
          <w:ilvl w:val="0"/>
          <w:numId w:val="2"/>
        </w:numPr>
        <w:snapToGrid w:val="0"/>
        <w:spacing w:line="560" w:lineRule="exact"/>
        <w:rPr>
          <w:rFonts w:hint="eastAsia" w:hAnsi="宋体"/>
          <w:szCs w:val="24"/>
          <w:highlight w:val="none"/>
        </w:rPr>
      </w:pPr>
      <w:bookmarkStart w:id="3" w:name="_Hlk218690874"/>
      <w:r>
        <w:rPr>
          <w:rFonts w:hint="eastAsia" w:hAnsi="宋体"/>
          <w:szCs w:val="24"/>
          <w:highlight w:val="none"/>
        </w:rPr>
        <w:t>项目团队</w:t>
      </w:r>
    </w:p>
    <w:p w14:paraId="5AB7A58B">
      <w:pPr>
        <w:adjustRightInd w:val="0"/>
        <w:snapToGrid w:val="0"/>
        <w:spacing w:line="560" w:lineRule="exact"/>
        <w:ind w:firstLine="480" w:firstLineChars="200"/>
        <w:jc w:val="left"/>
        <w:textAlignment w:val="baseline"/>
        <w:rPr>
          <w:highlight w:val="none"/>
        </w:rPr>
      </w:pPr>
      <w:r>
        <w:rPr>
          <w:rFonts w:hint="eastAsia" w:ascii="宋体" w:hAnsi="宋体" w:cs="仿宋_GB2312"/>
          <w:sz w:val="24"/>
          <w:highlight w:val="none"/>
        </w:rPr>
        <w:t>投标人须为本项目配置经验丰富、专业能力突出的项目经理及不小于5人（含5人）的项目实施团队</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应</w:t>
      </w:r>
      <w:r>
        <w:rPr>
          <w:rFonts w:hint="eastAsia" w:ascii="宋体" w:hAnsi="宋体" w:cs="仿宋_GB2312"/>
          <w:sz w:val="24"/>
          <w:highlight w:val="none"/>
          <w:lang w:eastAsia="zh-CN"/>
        </w:rPr>
        <w:t>有同时具备通信高级工程师认证和项目管理CSPM认证的</w:t>
      </w:r>
      <w:r>
        <w:rPr>
          <w:rFonts w:hint="eastAsia" w:ascii="宋体" w:hAnsi="宋体" w:cs="仿宋_GB2312"/>
          <w:sz w:val="24"/>
          <w:highlight w:val="none"/>
          <w:lang w:val="en-US" w:eastAsia="zh-CN"/>
        </w:rPr>
        <w:t>团队成员</w:t>
      </w:r>
      <w:r>
        <w:rPr>
          <w:rFonts w:hint="eastAsia" w:ascii="宋体" w:hAnsi="宋体" w:cs="仿宋_GB2312"/>
          <w:sz w:val="24"/>
          <w:highlight w:val="none"/>
        </w:rPr>
        <w:t>。项目经理应具备通信专业技术能力与成熟的项目管理经验，能够全面保障项目实施质量、进度与安全。项目实施团队成员也需具备相应的技术能力和项目经验。</w:t>
      </w:r>
    </w:p>
    <w:bookmarkEnd w:id="3"/>
    <w:p w14:paraId="0C329FAA">
      <w:pPr>
        <w:pStyle w:val="4"/>
        <w:snapToGrid w:val="0"/>
        <w:spacing w:line="560" w:lineRule="exact"/>
        <w:rPr>
          <w:rFonts w:hint="eastAsia" w:hAnsi="宋体"/>
          <w:szCs w:val="24"/>
          <w:highlight w:val="none"/>
        </w:rPr>
      </w:pPr>
      <w:r>
        <w:rPr>
          <w:rFonts w:hint="eastAsia" w:hAnsi="宋体"/>
          <w:szCs w:val="24"/>
          <w:highlight w:val="none"/>
          <w:lang w:val="en-US" w:eastAsia="zh-CN"/>
        </w:rPr>
        <w:t>8</w:t>
      </w:r>
      <w:r>
        <w:rPr>
          <w:rFonts w:hint="eastAsia" w:hAnsi="宋体"/>
          <w:szCs w:val="24"/>
          <w:highlight w:val="none"/>
        </w:rPr>
        <w:t>.服务要求</w:t>
      </w:r>
    </w:p>
    <w:p w14:paraId="4FC152AA">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为保障本项目服务交付后的长期稳定运行和持续满足采购需求，投标人须提交一份专门针对本项目的、详尽且具备可操作性的服务方案</w:t>
      </w:r>
      <w:r>
        <w:rPr>
          <w:rFonts w:hint="eastAsia" w:ascii="宋体" w:hAnsi="宋体" w:cs="仿宋_GB2312"/>
          <w:sz w:val="24"/>
          <w:highlight w:val="none"/>
        </w:rPr>
        <w:t>。方案需阐</w:t>
      </w:r>
      <w:r>
        <w:rPr>
          <w:rFonts w:ascii="宋体" w:hAnsi="宋体" w:cs="仿宋_GB2312"/>
          <w:sz w:val="24"/>
          <w:highlight w:val="none"/>
        </w:rPr>
        <w:t>述为履行本项目保障而设立的服务团队组织架构、岗位职责、内部管理制度</w:t>
      </w:r>
      <w:r>
        <w:rPr>
          <w:rFonts w:hint="eastAsia" w:ascii="宋体" w:hAnsi="宋体" w:cs="仿宋_GB2312"/>
          <w:sz w:val="24"/>
          <w:highlight w:val="none"/>
        </w:rPr>
        <w:t>；</w:t>
      </w:r>
      <w:r>
        <w:rPr>
          <w:rFonts w:ascii="宋体" w:hAnsi="宋体" w:cs="仿宋_GB2312"/>
          <w:sz w:val="24"/>
          <w:highlight w:val="none"/>
        </w:rPr>
        <w:t>明确具体的响应时间承诺、服务热线、远程及现场支持方式</w:t>
      </w:r>
      <w:r>
        <w:rPr>
          <w:rFonts w:hint="eastAsia" w:ascii="宋体" w:hAnsi="宋体" w:cs="仿宋_GB2312"/>
          <w:sz w:val="24"/>
          <w:highlight w:val="none"/>
        </w:rPr>
        <w:t>，详细列出提供的具体服务项目，在最短的时间内响应并解决业务运行过程中出现的故障，最大程度的降低网络故障各项业务产生的影响。要求</w:t>
      </w:r>
      <w:r>
        <w:rPr>
          <w:rFonts w:hint="eastAsia" w:ascii="宋体" w:hAnsi="宋体" w:cs="仿宋_GB2312"/>
          <w:sz w:val="24"/>
          <w:highlight w:val="none"/>
          <w:lang w:val="en-US" w:eastAsia="zh-CN"/>
        </w:rPr>
        <w:t>服务</w:t>
      </w:r>
      <w:r>
        <w:rPr>
          <w:rFonts w:hint="eastAsia" w:ascii="宋体" w:hAnsi="宋体" w:cs="仿宋_GB2312"/>
          <w:sz w:val="24"/>
          <w:highlight w:val="none"/>
        </w:rPr>
        <w:t>方案内容紧密结合本项目的技术特点、服务范围及采购人的具体使用场景进行编制，体现个性化服务承诺。</w:t>
      </w:r>
    </w:p>
    <w:p w14:paraId="7B8C6A2B">
      <w:pPr>
        <w:pStyle w:val="4"/>
        <w:snapToGrid w:val="0"/>
        <w:spacing w:line="560" w:lineRule="exact"/>
        <w:rPr>
          <w:rFonts w:hint="eastAsia" w:hAnsi="宋体"/>
          <w:szCs w:val="24"/>
          <w:highlight w:val="none"/>
        </w:rPr>
      </w:pPr>
      <w:r>
        <w:rPr>
          <w:rFonts w:hint="eastAsia" w:hAnsi="宋体"/>
          <w:szCs w:val="24"/>
          <w:highlight w:val="none"/>
          <w:lang w:val="en-US" w:eastAsia="zh-CN"/>
        </w:rPr>
        <w:t>9</w:t>
      </w:r>
      <w:r>
        <w:rPr>
          <w:rFonts w:hint="eastAsia" w:hAnsi="宋体"/>
          <w:szCs w:val="24"/>
          <w:highlight w:val="none"/>
        </w:rPr>
        <w:t>. 重大活动应急保障服务要求</w:t>
      </w:r>
    </w:p>
    <w:p w14:paraId="4EB5B083">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为保障本项目服务在国家、地方或行业重大活动期间及突发事件中的稳定、可靠与安全运行，投标人须提交一份</w:t>
      </w:r>
      <w:r>
        <w:rPr>
          <w:rFonts w:hint="eastAsia" w:ascii="宋体" w:hAnsi="宋体" w:cs="仿宋_GB2312"/>
          <w:sz w:val="24"/>
          <w:highlight w:val="none"/>
        </w:rPr>
        <w:t>完整</w:t>
      </w:r>
      <w:r>
        <w:rPr>
          <w:rFonts w:ascii="宋体" w:hAnsi="宋体" w:cs="仿宋_GB2312"/>
          <w:sz w:val="24"/>
          <w:highlight w:val="none"/>
        </w:rPr>
        <w:t>的重大活动应急保障方案</w:t>
      </w:r>
      <w:r>
        <w:rPr>
          <w:rFonts w:hint="eastAsia" w:ascii="宋体" w:hAnsi="宋体" w:cs="仿宋_GB2312"/>
          <w:sz w:val="24"/>
          <w:highlight w:val="none"/>
        </w:rPr>
        <w:t>。</w:t>
      </w:r>
    </w:p>
    <w:p w14:paraId="1F0E2AF5">
      <w:pPr>
        <w:tabs>
          <w:tab w:val="left" w:pos="525"/>
        </w:tabs>
        <w:spacing w:line="360" w:lineRule="auto"/>
        <w:ind w:firstLine="480" w:firstLineChars="200"/>
        <w:rPr>
          <w:rFonts w:hint="eastAsia" w:ascii="宋体" w:hAnsi="宋体" w:cs="仿宋_GB2312"/>
          <w:sz w:val="24"/>
          <w:highlight w:val="none"/>
        </w:rPr>
      </w:pPr>
      <w:bookmarkStart w:id="4" w:name="_Hlk218518238"/>
      <w:r>
        <w:rPr>
          <w:rFonts w:ascii="宋体" w:hAnsi="宋体" w:cs="仿宋_GB2312"/>
          <w:sz w:val="24"/>
          <w:highlight w:val="none"/>
        </w:rPr>
        <w:t>明确针对重大活动及突发事件的应急指挥体系，并详细说明各岗位在应急状态下的职责、权限及协作机制。</w:t>
      </w:r>
    </w:p>
    <w:p w14:paraId="27A1BE71">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阐述在重大活动保障期前后及期间，为提升系统健壮性、防范风险所采取的具体技术与管理措施。</w:t>
      </w:r>
    </w:p>
    <w:bookmarkEnd w:id="4"/>
    <w:p w14:paraId="3BD4F03E">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针对可能出现的不同等级、不同类型的突发事件，制定分级分类的响应策略。明确各类事件的判定标准、内部通报流程、决策机制及初步处置原则。</w:t>
      </w:r>
    </w:p>
    <w:p w14:paraId="1B7F4CC8">
      <w:pPr>
        <w:tabs>
          <w:tab w:val="left" w:pos="525"/>
        </w:tabs>
        <w:spacing w:line="360" w:lineRule="auto"/>
        <w:ind w:firstLine="480" w:firstLineChars="200"/>
        <w:rPr>
          <w:rFonts w:hint="eastAsia" w:ascii="宋体" w:hAnsi="宋体" w:cs="仿宋_GB2312"/>
          <w:sz w:val="24"/>
          <w:highlight w:val="none"/>
        </w:rPr>
      </w:pPr>
      <w:r>
        <w:rPr>
          <w:rFonts w:ascii="宋体" w:hAnsi="宋体" w:cs="仿宋_GB2312"/>
          <w:sz w:val="24"/>
          <w:highlight w:val="none"/>
        </w:rPr>
        <w:t>制定专门针对本项目所涉网络的、具体且可操作的应急预案。</w:t>
      </w:r>
    </w:p>
    <w:p w14:paraId="73B1CEB5">
      <w:pPr>
        <w:tabs>
          <w:tab w:val="left" w:pos="525"/>
        </w:tabs>
        <w:spacing w:line="360" w:lineRule="auto"/>
        <w:ind w:firstLine="480" w:firstLineChars="200"/>
        <w:rPr>
          <w:rFonts w:ascii="宋体" w:hAnsi="宋体" w:cs="仿宋_GB2312"/>
          <w:sz w:val="24"/>
          <w:highlight w:val="none"/>
        </w:rPr>
      </w:pPr>
      <w:r>
        <w:rPr>
          <w:rFonts w:hint="eastAsia" w:ascii="宋体" w:hAnsi="宋体" w:cs="仿宋_GB2312"/>
          <w:sz w:val="24"/>
          <w:highlight w:val="none"/>
        </w:rPr>
        <w:t>要求</w:t>
      </w:r>
      <w:r>
        <w:rPr>
          <w:rFonts w:ascii="宋体" w:hAnsi="宋体" w:cs="仿宋_GB2312"/>
          <w:sz w:val="24"/>
          <w:highlight w:val="none"/>
        </w:rPr>
        <w:t>方案内容系</w:t>
      </w:r>
      <w:r>
        <w:rPr>
          <w:rFonts w:hint="eastAsia" w:ascii="宋体" w:hAnsi="宋体" w:cs="仿宋_GB2312"/>
          <w:sz w:val="24"/>
          <w:highlight w:val="none"/>
        </w:rPr>
        <w:t>统</w:t>
      </w:r>
      <w:r>
        <w:rPr>
          <w:rFonts w:ascii="宋体" w:hAnsi="宋体" w:cs="仿宋_GB2312"/>
          <w:sz w:val="24"/>
          <w:highlight w:val="none"/>
        </w:rPr>
        <w:t>、具体，专门为本项目及重大活动保障场景量身定制，各项措施、策略和预案深度符合采购需求，贴近实际情况，具备很强的实战指导价值。</w:t>
      </w:r>
    </w:p>
    <w:p w14:paraId="3DACB3B3">
      <w:pPr>
        <w:pStyle w:val="2"/>
        <w:spacing w:line="360" w:lineRule="auto"/>
        <w:ind w:firstLine="480" w:firstLineChars="200"/>
        <w:rPr>
          <w:rFonts w:hint="eastAsia" w:ascii="宋体" w:hAnsi="宋体" w:eastAsia="宋体" w:cs="仿宋_GB2312"/>
          <w:kern w:val="2"/>
          <w:sz w:val="24"/>
          <w:szCs w:val="24"/>
          <w:highlight w:val="none"/>
          <w:lang w:val="en-US" w:eastAsia="zh-CN" w:bidi="ar-SA"/>
        </w:rPr>
        <w:sectPr>
          <w:pgSz w:w="11907" w:h="16840"/>
          <w:pgMar w:top="1418" w:right="1134" w:bottom="1418" w:left="1701" w:header="851" w:footer="851" w:gutter="0"/>
          <w:cols w:space="720" w:num="1"/>
          <w:docGrid w:linePitch="462" w:charSpace="0"/>
        </w:sectPr>
      </w:pPr>
      <w:r>
        <w:rPr>
          <w:rFonts w:hint="eastAsia" w:ascii="宋体" w:hAnsi="宋体" w:eastAsia="宋体" w:cs="仿宋_GB2312"/>
          <w:kern w:val="2"/>
          <w:sz w:val="24"/>
          <w:szCs w:val="24"/>
          <w:highlight w:val="none"/>
          <w:lang w:val="en-US" w:eastAsia="zh-CN" w:bidi="ar-SA"/>
        </w:rPr>
        <w:t>为全面证明投标人在重大活动应急保障领域的专业能力与实战经验。</w:t>
      </w:r>
    </w:p>
    <w:p w14:paraId="29FD6187">
      <w:pPr>
        <w:pStyle w:val="3"/>
        <w:bidi w:val="0"/>
        <w:spacing w:line="240" w:lineRule="auto"/>
        <w:outlineLvl w:val="1"/>
        <w:rPr>
          <w:rFonts w:hint="eastAsia" w:asciiTheme="minorEastAsia" w:hAnsiTheme="minorEastAsia" w:eastAsiaTheme="minorEastAsia" w:cstheme="minorEastAsia"/>
          <w:sz w:val="24"/>
          <w:szCs w:val="24"/>
          <w:highlight w:val="none"/>
        </w:rPr>
      </w:pPr>
      <w:bookmarkStart w:id="5" w:name="_Toc14171"/>
      <w:bookmarkStart w:id="6" w:name="_Toc23997"/>
      <w:bookmarkStart w:id="7" w:name="_Toc1648"/>
      <w:r>
        <w:rPr>
          <w:rFonts w:hint="eastAsia" w:asciiTheme="minorEastAsia" w:hAnsiTheme="minorEastAsia" w:eastAsiaTheme="minorEastAsia" w:cstheme="minorEastAsia"/>
          <w:bCs/>
          <w:sz w:val="24"/>
          <w:szCs w:val="24"/>
          <w:highlight w:val="none"/>
        </w:rPr>
        <w:t>首都图书馆2026年互联网专线接入费及政务云服务采购项目</w:t>
      </w:r>
      <w:r>
        <w:rPr>
          <w:rFonts w:hint="eastAsia" w:asciiTheme="minorEastAsia" w:hAnsiTheme="minorEastAsia" w:eastAsiaTheme="minorEastAsia" w:cstheme="minorEastAsia"/>
          <w:bCs/>
          <w:sz w:val="24"/>
          <w:szCs w:val="24"/>
          <w:highlight w:val="none"/>
          <w:lang w:val="en-US" w:eastAsia="zh-CN"/>
        </w:rPr>
        <w:t>第二包城图主线2</w:t>
      </w:r>
      <w:bookmarkEnd w:id="5"/>
      <w:bookmarkEnd w:id="6"/>
      <w:bookmarkEnd w:id="7"/>
    </w:p>
    <w:p w14:paraId="60E49ADC">
      <w:pPr>
        <w:keepNext/>
        <w:keepLines/>
        <w:widowControl w:val="0"/>
        <w:numPr>
          <w:ilvl w:val="0"/>
          <w:numId w:val="0"/>
        </w:numPr>
        <w:autoSpaceDE/>
        <w:autoSpaceDN/>
        <w:adjustRightInd w:val="0"/>
        <w:snapToGrid w:val="0"/>
        <w:spacing w:before="260" w:after="260" w:line="240" w:lineRule="auto"/>
        <w:ind w:leftChars="0"/>
        <w:jc w:val="left"/>
        <w:textAlignment w:val="baseline"/>
        <w:outlineLvl w:val="1"/>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一、采购标的</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1914"/>
        <w:gridCol w:w="1115"/>
        <w:gridCol w:w="971"/>
        <w:gridCol w:w="1431"/>
      </w:tblGrid>
      <w:tr w14:paraId="1D8C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Align w:val="center"/>
          </w:tcPr>
          <w:p w14:paraId="2625506F">
            <w:pPr>
              <w:widowControl w:val="0"/>
              <w:adjustRightInd w:val="0"/>
              <w:snapToGrid w:val="0"/>
              <w:spacing w:before="120" w:line="240" w:lineRule="auto"/>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标的名称</w:t>
            </w:r>
          </w:p>
        </w:tc>
        <w:tc>
          <w:tcPr>
            <w:tcW w:w="1914" w:type="dxa"/>
            <w:vAlign w:val="center"/>
          </w:tcPr>
          <w:p w14:paraId="4C8E4274">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货物或服务名称</w:t>
            </w:r>
          </w:p>
        </w:tc>
        <w:tc>
          <w:tcPr>
            <w:tcW w:w="1115" w:type="dxa"/>
            <w:vAlign w:val="center"/>
          </w:tcPr>
          <w:p w14:paraId="01BD6C9B">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数量</w:t>
            </w:r>
          </w:p>
        </w:tc>
        <w:tc>
          <w:tcPr>
            <w:tcW w:w="971" w:type="dxa"/>
            <w:vAlign w:val="center"/>
          </w:tcPr>
          <w:p w14:paraId="75485A3B">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单位</w:t>
            </w:r>
          </w:p>
        </w:tc>
        <w:tc>
          <w:tcPr>
            <w:tcW w:w="1431" w:type="dxa"/>
            <w:vAlign w:val="center"/>
          </w:tcPr>
          <w:p w14:paraId="7BE72400">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备注：（采购资金）</w:t>
            </w:r>
          </w:p>
          <w:p w14:paraId="65893E7F">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单位：万元</w:t>
            </w:r>
          </w:p>
        </w:tc>
      </w:tr>
      <w:tr w14:paraId="0A43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Align w:val="center"/>
          </w:tcPr>
          <w:p w14:paraId="46855B42">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bCs/>
                <w:szCs w:val="21"/>
                <w:highlight w:val="none"/>
              </w:rPr>
              <w:t>首都图书馆2026年互联网专线接入费及政务云服务采购项目</w:t>
            </w:r>
            <w:r>
              <w:rPr>
                <w:rFonts w:hint="eastAsia"/>
                <w:bCs/>
                <w:szCs w:val="21"/>
                <w:highlight w:val="none"/>
                <w:lang w:val="en-US" w:eastAsia="zh-CN"/>
              </w:rPr>
              <w:t>第二包城图主线2</w:t>
            </w:r>
          </w:p>
        </w:tc>
        <w:tc>
          <w:tcPr>
            <w:tcW w:w="1914" w:type="dxa"/>
          </w:tcPr>
          <w:p w14:paraId="7666BD26">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租用500Mbps互联网专线</w:t>
            </w:r>
          </w:p>
        </w:tc>
        <w:tc>
          <w:tcPr>
            <w:tcW w:w="1115" w:type="dxa"/>
          </w:tcPr>
          <w:p w14:paraId="21DD18D0">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c>
          <w:tcPr>
            <w:tcW w:w="971" w:type="dxa"/>
          </w:tcPr>
          <w:p w14:paraId="68A19F95">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条</w:t>
            </w:r>
          </w:p>
        </w:tc>
        <w:tc>
          <w:tcPr>
            <w:tcW w:w="1431" w:type="dxa"/>
          </w:tcPr>
          <w:p w14:paraId="4FAEE236">
            <w:pPr>
              <w:widowControl w:val="0"/>
              <w:adjustRightInd w:val="0"/>
              <w:snapToGrid w:val="0"/>
              <w:spacing w:before="120" w:line="240" w:lineRule="auto"/>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67.609</w:t>
            </w:r>
          </w:p>
        </w:tc>
      </w:tr>
    </w:tbl>
    <w:p w14:paraId="094F65D2">
      <w:pPr>
        <w:spacing w:after="120" w:line="360" w:lineRule="auto"/>
        <w:ind w:firstLine="420"/>
        <w:jc w:val="left"/>
        <w:rPr>
          <w:rFonts w:hint="eastAsia"/>
          <w:highlight w:val="none"/>
        </w:rPr>
      </w:pP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促进北京城市图书馆信息化发展，保障图书馆系统访问、最新图书咨询信息访问、日常办公业务需求、图书馆WIFI系统等，采购1条500M互联网专线</w:t>
      </w:r>
      <w:r>
        <w:rPr>
          <w:rFonts w:hint="eastAsia" w:ascii="仿宋" w:hAnsi="仿宋" w:eastAsia="仿宋" w:cs="仿宋"/>
          <w:sz w:val="24"/>
          <w:szCs w:val="24"/>
          <w:highlight w:val="none"/>
        </w:rPr>
        <w:t>。</w:t>
      </w:r>
    </w:p>
    <w:p w14:paraId="10A058E4">
      <w:pPr>
        <w:pStyle w:val="3"/>
        <w:numPr>
          <w:ilvl w:val="0"/>
          <w:numId w:val="3"/>
        </w:numPr>
        <w:bidi w:val="0"/>
        <w:spacing w:line="240" w:lineRule="auto"/>
        <w:jc w:val="left"/>
        <w:rPr>
          <w:rFonts w:hint="eastAsia" w:ascii="仿宋" w:hAnsi="仿宋" w:eastAsia="仿宋" w:cs="仿宋"/>
          <w:sz w:val="28"/>
          <w:szCs w:val="28"/>
          <w:highlight w:val="none"/>
        </w:rPr>
      </w:pPr>
      <w:bookmarkStart w:id="8" w:name="heading_1"/>
      <w:r>
        <w:rPr>
          <w:rFonts w:hint="eastAsia" w:ascii="仿宋" w:hAnsi="仿宋" w:eastAsia="仿宋" w:cs="仿宋"/>
          <w:sz w:val="28"/>
          <w:szCs w:val="28"/>
          <w:highlight w:val="none"/>
        </w:rPr>
        <w:t>商务要求</w:t>
      </w:r>
      <w:bookmarkEnd w:id="8"/>
    </w:p>
    <w:p w14:paraId="4DBE8D2C">
      <w:pPr>
        <w:numPr>
          <w:ilvl w:val="-1"/>
          <w:numId w:val="0"/>
        </w:numPr>
        <w:rPr>
          <w:rFonts w:hint="eastAsia" w:eastAsia="仿宋"/>
          <w:highlight w:val="none"/>
          <w:lang w:val="en-US" w:eastAsia="zh-CN"/>
        </w:rPr>
      </w:pPr>
    </w:p>
    <w:p w14:paraId="7B0326C8">
      <w:pPr>
        <w:numPr>
          <w:ilvl w:val="0"/>
          <w:numId w:val="0"/>
        </w:numPr>
        <w:spacing w:before="120" w:after="120"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投标人应具</w:t>
      </w:r>
      <w:r>
        <w:rPr>
          <w:rFonts w:hint="eastAsia" w:ascii="仿宋" w:hAnsi="仿宋" w:eastAsia="仿宋" w:cs="仿宋"/>
          <w:sz w:val="24"/>
          <w:szCs w:val="24"/>
          <w:highlight w:val="none"/>
        </w:rPr>
        <w:t>500M互联网专线</w:t>
      </w:r>
      <w:r>
        <w:rPr>
          <w:rFonts w:hint="eastAsia" w:ascii="仿宋" w:hAnsi="仿宋" w:eastAsia="仿宋" w:cs="仿宋"/>
          <w:sz w:val="24"/>
          <w:szCs w:val="24"/>
          <w:highlight w:val="none"/>
          <w:lang w:val="en-US" w:eastAsia="zh-CN"/>
        </w:rPr>
        <w:t>接入的能力资质。</w:t>
      </w:r>
    </w:p>
    <w:p w14:paraId="41914526">
      <w:pPr>
        <w:numPr>
          <w:ilvl w:val="0"/>
          <w:numId w:val="0"/>
        </w:numPr>
        <w:spacing w:before="120" w:after="120"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投标人应具有本项目相关的经验，并有成功案例；具备丰富的项目管理经验和团队协作能力，能有效组织和管理项目团队，可提供项目合同、验收报告等相关证明材料；具备与图书馆类项目类似的项目经验，能提供相关图书馆的项目案例和经验总结。案例时间以合同签订时间为准。</w:t>
      </w:r>
    </w:p>
    <w:p w14:paraId="4EC86F56">
      <w:pPr>
        <w:pStyle w:val="2"/>
        <w:rPr>
          <w:rFonts w:hint="eastAsia"/>
          <w:highlight w:val="none"/>
          <w:lang w:val="en-US" w:eastAsia="zh-CN"/>
        </w:rPr>
      </w:pPr>
      <w:r>
        <w:rPr>
          <w:rFonts w:hint="eastAsia"/>
          <w:highlight w:val="none"/>
          <w:lang w:val="en-US" w:eastAsia="zh-CN"/>
        </w:rPr>
        <w:t>3.交货时间：应保证合同签订后3-5个工作日（含5个工作日）完成专线开通及测试。</w:t>
      </w:r>
    </w:p>
    <w:p w14:paraId="1CCD336E">
      <w:pPr>
        <w:pStyle w:val="2"/>
        <w:rPr>
          <w:rFonts w:hint="eastAsia"/>
          <w:highlight w:val="none"/>
          <w:lang w:val="en-US" w:eastAsia="zh-CN"/>
        </w:rPr>
      </w:pPr>
      <w:r>
        <w:rPr>
          <w:rFonts w:hint="eastAsia"/>
          <w:highlight w:val="none"/>
          <w:lang w:val="en-US" w:eastAsia="zh-CN"/>
        </w:rPr>
        <w:t>4.服务期： 17个月</w:t>
      </w:r>
    </w:p>
    <w:p w14:paraId="59CE5EFC">
      <w:pPr>
        <w:pStyle w:val="2"/>
        <w:rPr>
          <w:rFonts w:hint="eastAsia"/>
          <w:highlight w:val="none"/>
          <w:lang w:val="en-US" w:eastAsia="zh-CN"/>
        </w:rPr>
      </w:pPr>
      <w:r>
        <w:rPr>
          <w:rFonts w:hint="eastAsia"/>
          <w:highlight w:val="none"/>
          <w:lang w:val="en-US" w:eastAsia="zh-CN"/>
        </w:rPr>
        <w:t>5.服务地点：北京城市图书馆。</w:t>
      </w:r>
    </w:p>
    <w:p w14:paraId="5F4CA9BB">
      <w:pPr>
        <w:pStyle w:val="2"/>
        <w:rPr>
          <w:rFonts w:hint="default"/>
          <w:highlight w:val="none"/>
          <w:lang w:val="en-US" w:eastAsia="zh-CN"/>
        </w:rPr>
      </w:pPr>
      <w:r>
        <w:rPr>
          <w:rFonts w:hint="eastAsia"/>
          <w:highlight w:val="none"/>
          <w:lang w:val="en-US" w:eastAsia="zh-CN"/>
        </w:rPr>
        <w:t>6.支付条件及进度要求：采购人应在本项目签订合同后且本项目财政资金到账后7个工作日内采购人向中标人支付合同总价 60 %；中标人完成本合同项下的服务，向中标人交付服务成果，经中标人验收合格，运行一个月后无故障，且本项目财政资金到账后一次性付清支付合同结算总价余款。</w:t>
      </w:r>
    </w:p>
    <w:p w14:paraId="5BF65A01">
      <w:pPr>
        <w:spacing w:before="320" w:after="120" w:line="240" w:lineRule="auto"/>
        <w:ind w:left="0"/>
        <w:jc w:val="left"/>
        <w:outlineLvl w:val="1"/>
        <w:rPr>
          <w:rStyle w:val="13"/>
          <w:rFonts w:hint="eastAsia" w:ascii="仿宋" w:hAnsi="仿宋" w:eastAsia="仿宋" w:cs="仿宋"/>
          <w:sz w:val="28"/>
          <w:szCs w:val="28"/>
          <w:highlight w:val="none"/>
        </w:rPr>
      </w:pPr>
      <w:bookmarkStart w:id="9" w:name="heading_2"/>
      <w:r>
        <w:rPr>
          <w:rFonts w:hint="eastAsia" w:ascii="仿宋" w:hAnsi="仿宋" w:eastAsia="仿宋" w:cs="仿宋"/>
          <w:b/>
          <w:sz w:val="28"/>
          <w:szCs w:val="28"/>
          <w:highlight w:val="none"/>
        </w:rPr>
        <w:t>三、技术要</w:t>
      </w:r>
      <w:r>
        <w:rPr>
          <w:rStyle w:val="13"/>
          <w:rFonts w:hint="eastAsia" w:ascii="仿宋" w:hAnsi="仿宋" w:eastAsia="仿宋" w:cs="仿宋"/>
          <w:sz w:val="28"/>
          <w:szCs w:val="28"/>
          <w:highlight w:val="none"/>
        </w:rPr>
        <w:t>求</w:t>
      </w:r>
      <w:bookmarkEnd w:id="9"/>
    </w:p>
    <w:p w14:paraId="65184FD8">
      <w:pPr>
        <w:bidi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（一）通用技术指标要求</w:t>
      </w:r>
    </w:p>
    <w:p w14:paraId="64FBAC72">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接口类型：千兆光口或千兆电口；</w:t>
      </w:r>
    </w:p>
    <w:p w14:paraId="6722ACB5">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物理链路：光纤符合ITU-T G.652B标准的单模光纤，通过裸光纤到达采购人指定的机房位置，并与本地设备实现对接；</w:t>
      </w:r>
    </w:p>
    <w:p w14:paraId="2228E701">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 丢包率（Frame Loss）：≤0.1%（承诺带宽内）；</w:t>
      </w:r>
    </w:p>
    <w:p w14:paraId="0C5A2497">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 承诺可用率：≥99.9%；</w:t>
      </w:r>
    </w:p>
    <w:p w14:paraId="367DB722">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时延：≤40ms（至网内热点网站的Ping网络时延）；</w:t>
      </w:r>
    </w:p>
    <w:p w14:paraId="3B24B506">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6.带宽独享：采购人接入设备出口至投标人骨干节点设备间带宽独享；</w:t>
      </w:r>
    </w:p>
    <w:p w14:paraId="0873E966">
      <w:pPr>
        <w:pStyle w:val="2"/>
        <w:spacing w:line="360" w:lineRule="auto"/>
        <w:rPr>
          <w:rFonts w:hint="default"/>
          <w:b/>
          <w:bCs/>
          <w:highlight w:val="none"/>
          <w:lang w:val="en-US" w:eastAsia="zh-CN"/>
        </w:rPr>
      </w:pPr>
      <w:r>
        <w:rPr>
          <w:rFonts w:hint="eastAsia" w:ascii="仿宋" w:hAnsi="仿宋" w:eastAsia="仿宋" w:cs="仿宋"/>
          <w:b/>
          <w:bCs/>
          <w:sz w:val="24"/>
          <w:szCs w:val="24"/>
          <w:highlight w:val="none"/>
          <w:lang w:val="en-US" w:eastAsia="zh-CN"/>
        </w:rPr>
        <w:t>（二）关键技术指标要求</w:t>
      </w:r>
    </w:p>
    <w:p w14:paraId="0A91CD0D">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1.可以提供互联网专线每月带宽和流量的使用情况，并提供系统分析的流量及带宽使用情况的截图。</w:t>
      </w:r>
    </w:p>
    <w:p w14:paraId="43D61347">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2.采购人使用端到投标人骨干网络局所光路跳接点≤3跳，并提供网络框架图和高德/百度地图上对应局所的位置截图；</w:t>
      </w:r>
    </w:p>
    <w:p w14:paraId="795195B3">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3.为保障采购人海外资源访问需求，要求中标人承诺具备海外出口带宽。国际互联出口：具备自有或租用的国际互联出口，且骨干网络国际出口带宽不少于1Tbps。</w:t>
      </w:r>
    </w:p>
    <w:p w14:paraId="0DCC3BEB">
      <w:pPr>
        <w:numPr>
          <w:ilvl w:val="0"/>
          <w:numId w:val="4"/>
        </w:numPr>
        <w:bidi w:val="0"/>
        <w:spacing w:line="360" w:lineRule="auto"/>
        <w:ind w:left="840" w:leftChars="0" w:hanging="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4.线路需光路双路由接入，确保在一条光路故障的情况下，另外一条光路还可以保障业务顺利使用，需提供网络架构图。</w:t>
      </w:r>
    </w:p>
    <w:p w14:paraId="0B5BFDF4">
      <w:pPr>
        <w:pStyle w:val="2"/>
        <w:rPr>
          <w:rFonts w:hint="eastAsia"/>
          <w:highlight w:val="none"/>
          <w:lang w:val="en-US" w:eastAsia="zh-CN"/>
        </w:rPr>
      </w:pPr>
    </w:p>
    <w:p w14:paraId="78DC4A25">
      <w:pPr>
        <w:numPr>
          <w:ilvl w:val="0"/>
          <w:numId w:val="0"/>
        </w:numPr>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（三）技术方案要求</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投标人应提供项目理解与重难点分析，包括项目工作量、服务内容重难点等。首先明确保障北京城市图书馆系统访问、最新图书咨询信息访问、日常办公业务需求、图书馆WIFI系统正常访问的目标和范围，确定项目旨在实现的具体成果和交付物说明项目的各个阶段，包括需求分析、设计、开发、测试、部署和维护等，确定每个阶段所需的人力、时间和技术投入。分析项目中可能存在的光纤和管道风险和不确定性因素，这些因素可能会增加项目的工作量和难度。针对于复杂的链路问题、确保专线系统的稳定性和性能、满足用户的特定需求、与其他网络设备系统的集成等，分析服务内容中的关键环节和风险点，制定相应的应对措施和解决方案。</w:t>
      </w:r>
    </w:p>
    <w:p w14:paraId="749D0D02">
      <w:pPr>
        <w:numPr>
          <w:ilvl w:val="0"/>
          <w:numId w:val="0"/>
        </w:numPr>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w:t>
      </w:r>
      <w:r>
        <w:rPr>
          <w:rFonts w:hint="eastAsia" w:ascii="仿宋" w:hAnsi="仿宋" w:eastAsia="仿宋" w:cs="仿宋"/>
          <w:b/>
          <w:bCs/>
          <w:sz w:val="24"/>
          <w:szCs w:val="24"/>
          <w:highlight w:val="none"/>
          <w:lang w:val="en-US" w:eastAsia="zh-CN"/>
        </w:rPr>
        <w:t>实施要求</w:t>
      </w:r>
    </w:p>
    <w:p w14:paraId="668BD13B">
      <w:pPr>
        <w:numPr>
          <w:ilvl w:val="0"/>
          <w:numId w:val="5"/>
        </w:numPr>
        <w:bidi w:val="0"/>
        <w:spacing w:line="360" w:lineRule="auto"/>
        <w:ind w:left="420"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团队成员要求：投标人项目团队人数应不少于3人（含），其中项目经理需具有5年</w:t>
      </w:r>
      <w:r>
        <w:rPr>
          <w:rFonts w:hint="eastAsia"/>
          <w:highlight w:val="none"/>
          <w:lang w:val="en-US" w:eastAsia="zh-CN"/>
        </w:rPr>
        <w:t>及</w:t>
      </w:r>
      <w:r>
        <w:rPr>
          <w:rFonts w:hint="eastAsia" w:ascii="仿宋" w:hAnsi="仿宋" w:eastAsia="仿宋" w:cs="仿宋"/>
          <w:sz w:val="24"/>
          <w:szCs w:val="24"/>
          <w:highlight w:val="none"/>
          <w:lang w:val="en-US" w:eastAsia="zh-CN"/>
        </w:rPr>
        <w:t>以上相关项目经验；项目团队成员应具备高级工程师证书、项目管理CSPM认证证书。</w:t>
      </w:r>
    </w:p>
    <w:p w14:paraId="6C4027E1">
      <w:pPr>
        <w:numPr>
          <w:ilvl w:val="0"/>
          <w:numId w:val="5"/>
        </w:numPr>
        <w:bidi w:val="0"/>
        <w:spacing w:line="360" w:lineRule="auto"/>
        <w:ind w:left="420"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项目交付时间要求：投标人应对专线开通时间做出承诺，最多不得超过合同签订后10个工作日。</w:t>
      </w:r>
    </w:p>
    <w:p w14:paraId="3A4AC40C">
      <w:pPr>
        <w:numPr>
          <w:ilvl w:val="0"/>
          <w:numId w:val="5"/>
        </w:numPr>
        <w:bidi w:val="0"/>
        <w:spacing w:line="360" w:lineRule="auto"/>
        <w:ind w:left="420"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实施方案过程控制要求：提供项目实施方案，说明如何利用人力及其它资源来承担其合同项下整体的管理和协调责任。该计划应包括服务组织架构、人员组成及职责、服务商针对所需带宽的节点部署及详细路由情况。投标人应提供详细的项目进度计划，包括各阶段时间节点、进度保障措施等。细化项目不同阶段，为每个阶段确定明确的开始时间和结束时间，并设置关键里程碑。制定详细的项目进度计划，包括每个阶段的具体任务、负责人和时间安排。建立有效的项目管理机制，包括项目团队的组织架构、沟通机制和决策流程等。对可能影响项目进度的风险进行评估和分析，制定相应的风险应对措施。</w:t>
      </w:r>
    </w:p>
    <w:p w14:paraId="2756DAA2">
      <w:pPr>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w:t>
      </w:r>
      <w:r>
        <w:rPr>
          <w:rFonts w:hint="eastAsia" w:ascii="仿宋" w:hAnsi="仿宋" w:eastAsia="仿宋" w:cs="仿宋"/>
          <w:b/>
          <w:bCs/>
          <w:sz w:val="24"/>
          <w:szCs w:val="24"/>
          <w:highlight w:val="none"/>
          <w:lang w:val="en-US" w:eastAsia="zh-CN"/>
        </w:rPr>
        <w:t>服务要求</w:t>
      </w:r>
    </w:p>
    <w:p w14:paraId="7D08212D">
      <w:pPr>
        <w:bidi w:val="0"/>
        <w:spacing w:line="360" w:lineRule="auto"/>
        <w:ind w:firstLine="42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运维服务要求：投标人需提供以专线接入点为标地的局所范围覆盖情况说明，提供专线链路的日常维护工作。投标人应提供详细的运维服务方案，包括服务组织、服务响应时间与流程、服务管理制度等。并提供电路落地端业务和技术保障联系人员名单，名单人员应相对保持稳定，发生变更时及时告知采购单位。在采购单位指定位置，投标人应提供线路网管，可实现采购单位对电路通断、带宽占用、故障警告、故障记录、质量监控等功能。投标人应对项目服务过程中所收集、产生的所有与本项目相关文档、资料， 包括文字、图片、表</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格、数字等进行管理，并在项目结束一并提交给采购人。</w:t>
      </w:r>
    </w:p>
    <w:p w14:paraId="3B7BBB5B">
      <w:pPr>
        <w:bidi w:val="0"/>
        <w:spacing w:line="360" w:lineRule="auto"/>
        <w:ind w:firstLine="42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应急响应服务要求：</w:t>
      </w:r>
    </w:p>
    <w:p w14:paraId="33164FB8">
      <w:pPr>
        <w:bidi w:val="0"/>
        <w:spacing w:line="360" w:lineRule="auto"/>
        <w:ind w:left="420" w:leftChars="0" w:firstLine="42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投标人应对以下内容进行承诺：</w:t>
      </w:r>
    </w:p>
    <w:p w14:paraId="62608D28">
      <w:pPr>
        <w:bidi w:val="0"/>
        <w:spacing w:line="360" w:lineRule="auto"/>
        <w:ind w:left="420" w:leftChars="0" w:firstLine="420" w:firstLine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（1）投标人需提供7×24故障受理电话；</w:t>
      </w:r>
    </w:p>
    <w:p w14:paraId="05751192">
      <w:pPr>
        <w:bidi w:val="0"/>
        <w:spacing w:line="360" w:lineRule="auto"/>
        <w:ind w:left="420" w:leftChars="0" w:firstLine="420" w:firstLine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（2）投标人在接到</w:t>
      </w:r>
      <w:r>
        <w:rPr>
          <w:rFonts w:hint="eastAsia" w:ascii="仿宋" w:hAnsi="仿宋" w:eastAsia="仿宋" w:cs="仿宋"/>
          <w:sz w:val="24"/>
          <w:szCs w:val="24"/>
          <w:highlight w:val="none"/>
          <w:lang w:val="en-US" w:eastAsia="zh-CN"/>
        </w:rPr>
        <w:t>采购</w:t>
      </w:r>
      <w:r>
        <w:rPr>
          <w:rFonts w:hint="default" w:ascii="仿宋" w:hAnsi="仿宋" w:eastAsia="仿宋" w:cs="仿宋"/>
          <w:sz w:val="24"/>
          <w:szCs w:val="24"/>
          <w:highlight w:val="none"/>
          <w:lang w:val="en-US" w:eastAsia="zh-CN"/>
        </w:rPr>
        <w:t>人故障申告后，15分钟之内进行响应</w:t>
      </w:r>
      <w:r>
        <w:rPr>
          <w:rFonts w:hint="eastAsia" w:ascii="仿宋" w:hAnsi="仿宋" w:eastAsia="仿宋" w:cs="仿宋"/>
          <w:sz w:val="24"/>
          <w:szCs w:val="24"/>
          <w:highlight w:val="none"/>
          <w:lang w:val="en-US" w:eastAsia="zh-CN"/>
        </w:rPr>
        <w:t>；</w:t>
      </w:r>
    </w:p>
    <w:p w14:paraId="41329017">
      <w:pPr>
        <w:bidi w:val="0"/>
        <w:spacing w:line="360" w:lineRule="auto"/>
        <w:ind w:left="420" w:leftChars="0" w:firstLine="420" w:firstLine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（3）投标人在2小时之内恢复业务，并及时向</w:t>
      </w:r>
      <w:r>
        <w:rPr>
          <w:rFonts w:hint="eastAsia" w:ascii="仿宋" w:hAnsi="仿宋" w:eastAsia="仿宋" w:cs="仿宋"/>
          <w:sz w:val="24"/>
          <w:szCs w:val="24"/>
          <w:highlight w:val="none"/>
          <w:lang w:val="en-US" w:eastAsia="zh-CN"/>
        </w:rPr>
        <w:t>采购</w:t>
      </w:r>
      <w:r>
        <w:rPr>
          <w:rFonts w:hint="default" w:ascii="仿宋" w:hAnsi="仿宋" w:eastAsia="仿宋" w:cs="仿宋"/>
          <w:sz w:val="24"/>
          <w:szCs w:val="24"/>
          <w:highlight w:val="none"/>
          <w:lang w:val="en-US" w:eastAsia="zh-CN"/>
        </w:rPr>
        <w:t>人通告故障处理进展情况；</w:t>
      </w:r>
    </w:p>
    <w:p w14:paraId="7B7FC4BA">
      <w:pPr>
        <w:bidi w:val="0"/>
        <w:spacing w:line="360" w:lineRule="auto"/>
        <w:ind w:left="420" w:leftChars="0" w:firstLine="420" w:firstLine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（4）投标人在故障处理完毕3个工作日内，需向</w:t>
      </w:r>
      <w:r>
        <w:rPr>
          <w:rFonts w:hint="eastAsia" w:ascii="仿宋" w:hAnsi="仿宋" w:eastAsia="仿宋" w:cs="仿宋"/>
          <w:sz w:val="24"/>
          <w:szCs w:val="24"/>
          <w:highlight w:val="none"/>
          <w:lang w:val="en-US" w:eastAsia="zh-CN"/>
        </w:rPr>
        <w:t>采购人</w:t>
      </w:r>
      <w:r>
        <w:rPr>
          <w:rFonts w:hint="default" w:ascii="仿宋" w:hAnsi="仿宋" w:eastAsia="仿宋" w:cs="仿宋"/>
          <w:sz w:val="24"/>
          <w:szCs w:val="24"/>
          <w:highlight w:val="none"/>
          <w:lang w:val="en-US" w:eastAsia="zh-CN"/>
        </w:rPr>
        <w:t>递交详细的故障处理报告；</w:t>
      </w:r>
    </w:p>
    <w:p w14:paraId="5119A69F">
      <w:pPr>
        <w:bidi w:val="0"/>
        <w:spacing w:line="360" w:lineRule="auto"/>
        <w:ind w:left="420" w:leftChars="0" w:firstLine="420" w:firstLine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（5）投标人设专人负责处理故障、进行售后服务工作，协助</w:t>
      </w:r>
      <w:r>
        <w:rPr>
          <w:rFonts w:hint="eastAsia" w:ascii="仿宋" w:hAnsi="仿宋" w:eastAsia="仿宋" w:cs="仿宋"/>
          <w:sz w:val="24"/>
          <w:szCs w:val="24"/>
          <w:highlight w:val="none"/>
          <w:lang w:val="en-US" w:eastAsia="zh-CN"/>
        </w:rPr>
        <w:t>采购</w:t>
      </w:r>
      <w:r>
        <w:rPr>
          <w:rFonts w:hint="default" w:ascii="仿宋" w:hAnsi="仿宋" w:eastAsia="仿宋" w:cs="仿宋"/>
          <w:sz w:val="24"/>
          <w:szCs w:val="24"/>
          <w:highlight w:val="none"/>
          <w:lang w:val="en-US" w:eastAsia="zh-CN"/>
        </w:rPr>
        <w:t>人相关管理人员排查可能因电路质量或故障造成的网络故障；</w:t>
      </w:r>
    </w:p>
    <w:p w14:paraId="3BAB646C">
      <w:pPr>
        <w:bidi w:val="0"/>
        <w:spacing w:line="360" w:lineRule="auto"/>
        <w:ind w:left="420" w:leftChars="0" w:firstLine="420" w:firstLineChars="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（6）投标人需提供电话和现场的技术支撑；</w:t>
      </w:r>
    </w:p>
    <w:p w14:paraId="7EA0742D">
      <w:pPr>
        <w:numPr>
          <w:ilvl w:val="0"/>
          <w:numId w:val="6"/>
        </w:numPr>
        <w:bidi w:val="0"/>
        <w:spacing w:line="360" w:lineRule="auto"/>
        <w:ind w:left="42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重大活动保障要求：投标人应为用户成立项目专门的重大活动保障团队，明确团队成员的职责和分工。保障团队应包括技术专家、项目经理、运维人员等，确保在重大活动期间能够提供全方位的服务支持。投标人应配备充足的应急保障资源，建立重大活动保障服务追溯与持续改进机制，与专项保障团队高效协同，确保重大活动期间服务可闭环、可追溯、可优化。</w:t>
      </w:r>
    </w:p>
    <w:p w14:paraId="2E7F6571">
      <w:pPr>
        <w:pStyle w:val="2"/>
        <w:tabs>
          <w:tab w:val="left" w:pos="420"/>
          <w:tab w:val="clear" w:pos="567"/>
        </w:tabs>
        <w:ind w:left="420" w:leftChars="200" w:firstLine="0"/>
        <w:rPr>
          <w:rFonts w:hint="eastAsia" w:ascii="仿宋" w:hAnsi="仿宋" w:eastAsia="仿宋" w:cs="仿宋"/>
          <w:highlight w:val="none"/>
          <w:lang w:val="en-US" w:eastAsia="zh-CN"/>
        </w:rPr>
        <w:sectPr>
          <w:pgSz w:w="11907" w:h="16840"/>
          <w:pgMar w:top="1418" w:right="1134" w:bottom="1418" w:left="1701" w:header="851" w:footer="851" w:gutter="0"/>
          <w:cols w:space="720" w:num="1"/>
          <w:docGrid w:linePitch="462" w:charSpace="0"/>
        </w:sectPr>
      </w:pPr>
      <w:r>
        <w:rPr>
          <w:rFonts w:hint="eastAsia" w:ascii="仿宋" w:hAnsi="仿宋" w:eastAsia="仿宋" w:cs="仿宋"/>
          <w:highlight w:val="none"/>
          <w:lang w:val="en-US" w:eastAsia="zh-CN"/>
        </w:rPr>
        <w:t>4.</w:t>
      </w:r>
      <w:r>
        <w:rPr>
          <w:rFonts w:hint="eastAsia" w:ascii="仿宋" w:hAnsi="仿宋" w:eastAsia="仿宋" w:cs="仿宋"/>
          <w:highlight w:val="none"/>
          <w:lang w:val="en-US" w:eastAsia="zh-CN"/>
        </w:rPr>
        <w:tab/>
      </w:r>
      <w:r>
        <w:rPr>
          <w:rFonts w:hint="eastAsia" w:ascii="仿宋" w:hAnsi="仿宋" w:eastAsia="仿宋" w:cs="仿宋"/>
          <w:highlight w:val="none"/>
          <w:lang w:val="en-US" w:eastAsia="zh-CN"/>
        </w:rPr>
        <w:t>重大故障断网累计时间要求：投标人在项目服务周期内出现的重大故障断网累计时间不得超过48小时。</w:t>
      </w:r>
    </w:p>
    <w:p w14:paraId="11C64229">
      <w:pPr>
        <w:pStyle w:val="3"/>
        <w:numPr>
          <w:ilvl w:val="0"/>
          <w:numId w:val="0"/>
        </w:numPr>
        <w:autoSpaceDE/>
        <w:autoSpaceDN/>
        <w:snapToGrid w:val="0"/>
        <w:spacing w:before="260" w:after="260" w:line="560" w:lineRule="exact"/>
        <w:ind w:leftChars="0"/>
        <w:jc w:val="center"/>
        <w:textAlignment w:val="baseline"/>
        <w:outlineLvl w:val="1"/>
        <w:rPr>
          <w:rFonts w:hint="eastAsia" w:asciiTheme="minorEastAsia" w:hAnsiTheme="minorEastAsia" w:eastAsiaTheme="minorEastAsia" w:cstheme="minorEastAsia"/>
          <w:sz w:val="24"/>
          <w:szCs w:val="24"/>
          <w:highlight w:val="none"/>
        </w:rPr>
      </w:pPr>
      <w:bookmarkStart w:id="10" w:name="_Toc7778"/>
      <w:bookmarkStart w:id="11" w:name="_Toc19608"/>
      <w:bookmarkStart w:id="12" w:name="_Toc21793"/>
      <w:r>
        <w:rPr>
          <w:rFonts w:hint="eastAsia" w:asciiTheme="minorEastAsia" w:hAnsiTheme="minorEastAsia" w:eastAsiaTheme="minorEastAsia" w:cstheme="minorEastAsia"/>
          <w:sz w:val="24"/>
          <w:szCs w:val="24"/>
          <w:highlight w:val="none"/>
        </w:rPr>
        <w:t>首都图书馆2026年互联网专线接入费及政务云服务采购项目第三包城图主线3</w:t>
      </w:r>
      <w:bookmarkEnd w:id="10"/>
      <w:bookmarkEnd w:id="11"/>
      <w:bookmarkEnd w:id="12"/>
    </w:p>
    <w:p w14:paraId="4D960556">
      <w:pPr>
        <w:pStyle w:val="3"/>
        <w:numPr>
          <w:ilvl w:val="1"/>
          <w:numId w:val="7"/>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采购标的</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2100"/>
        <w:gridCol w:w="1071"/>
        <w:gridCol w:w="1086"/>
        <w:gridCol w:w="1645"/>
      </w:tblGrid>
      <w:tr w14:paraId="0347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4" w:type="dxa"/>
            <w:vAlign w:val="center"/>
          </w:tcPr>
          <w:p w14:paraId="3BCB7C63">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bCs/>
                <w:szCs w:val="21"/>
                <w:highlight w:val="none"/>
              </w:rPr>
              <w:t>标的名称</w:t>
            </w:r>
          </w:p>
        </w:tc>
        <w:tc>
          <w:tcPr>
            <w:tcW w:w="2100" w:type="dxa"/>
            <w:vAlign w:val="center"/>
          </w:tcPr>
          <w:p w14:paraId="33CCF996">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货物或服务名称</w:t>
            </w:r>
          </w:p>
        </w:tc>
        <w:tc>
          <w:tcPr>
            <w:tcW w:w="1071" w:type="dxa"/>
            <w:vAlign w:val="center"/>
          </w:tcPr>
          <w:p w14:paraId="15ABFFB5">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086" w:type="dxa"/>
            <w:vAlign w:val="center"/>
          </w:tcPr>
          <w:p w14:paraId="3E3A8F24">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1645" w:type="dxa"/>
            <w:vAlign w:val="center"/>
          </w:tcPr>
          <w:p w14:paraId="73A27C8B">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备注：（采购资金）</w:t>
            </w:r>
          </w:p>
          <w:p w14:paraId="218B996E">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单位：万元</w:t>
            </w:r>
          </w:p>
        </w:tc>
      </w:tr>
      <w:tr w14:paraId="5F97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4" w:type="dxa"/>
            <w:vAlign w:val="center"/>
          </w:tcPr>
          <w:p w14:paraId="7FA2D62D">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bCs/>
                <w:szCs w:val="21"/>
                <w:highlight w:val="none"/>
              </w:rPr>
              <w:t>首都图书馆2026年互联网专线接入费及政务云服务采购项目</w:t>
            </w:r>
            <w:r>
              <w:rPr>
                <w:rFonts w:hint="eastAsia"/>
                <w:bCs/>
                <w:szCs w:val="21"/>
                <w:highlight w:val="none"/>
                <w:lang w:val="en-US" w:eastAsia="zh-CN"/>
              </w:rPr>
              <w:t>第三包城图主线3</w:t>
            </w:r>
          </w:p>
        </w:tc>
        <w:tc>
          <w:tcPr>
            <w:tcW w:w="2100" w:type="dxa"/>
          </w:tcPr>
          <w:p w14:paraId="214869A8">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租用</w:t>
            </w:r>
            <w:r>
              <w:rPr>
                <w:rFonts w:hint="eastAsia" w:asciiTheme="minorEastAsia" w:hAnsiTheme="minorEastAsia" w:eastAsiaTheme="minorEastAsia" w:cstheme="minorEastAsia"/>
                <w:sz w:val="24"/>
                <w:szCs w:val="24"/>
                <w:highlight w:val="none"/>
                <w:lang w:val="en-US" w:eastAsia="zh-CN"/>
              </w:rPr>
              <w:t>500</w:t>
            </w:r>
            <w:r>
              <w:rPr>
                <w:rFonts w:hint="eastAsia" w:asciiTheme="minorEastAsia" w:hAnsiTheme="minorEastAsia" w:eastAsiaTheme="minorEastAsia" w:cstheme="minorEastAsia"/>
                <w:sz w:val="24"/>
                <w:szCs w:val="24"/>
                <w:highlight w:val="none"/>
              </w:rPr>
              <w:t>Mbps互联网专线</w:t>
            </w:r>
          </w:p>
        </w:tc>
        <w:tc>
          <w:tcPr>
            <w:tcW w:w="1071" w:type="dxa"/>
          </w:tcPr>
          <w:p w14:paraId="4BF1E3E1">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86" w:type="dxa"/>
          </w:tcPr>
          <w:p w14:paraId="124E65C8">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w:t>
            </w:r>
          </w:p>
        </w:tc>
        <w:tc>
          <w:tcPr>
            <w:tcW w:w="1645" w:type="dxa"/>
          </w:tcPr>
          <w:p w14:paraId="1928BA66">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67.609</w:t>
            </w:r>
          </w:p>
        </w:tc>
      </w:tr>
    </w:tbl>
    <w:p w14:paraId="25A6A5FF">
      <w:pPr>
        <w:pStyle w:val="12"/>
        <w:adjustRightInd w:val="0"/>
        <w:snapToGrid w:val="0"/>
        <w:spacing w:line="560" w:lineRule="exact"/>
        <w:ind w:firstLine="482"/>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sz w:val="24"/>
          <w:szCs w:val="24"/>
          <w:highlight w:val="none"/>
        </w:rPr>
        <w:t>基本需求：</w:t>
      </w:r>
      <w:r>
        <w:rPr>
          <w:rFonts w:hint="eastAsia" w:asciiTheme="minorEastAsia" w:hAnsiTheme="minorEastAsia" w:eastAsiaTheme="minorEastAsia" w:cstheme="minorEastAsia"/>
          <w:bCs/>
          <w:sz w:val="24"/>
          <w:szCs w:val="24"/>
          <w:highlight w:val="none"/>
        </w:rPr>
        <w:t>为促进北京城市图书馆信息化发展，保障图书馆系统访问、全球最新图书咨询信息访问、日常办公业务需求、图书馆WIFI系统等，本项目计划采购1条</w:t>
      </w:r>
      <w:r>
        <w:rPr>
          <w:rFonts w:hint="eastAsia" w:asciiTheme="minorEastAsia" w:hAnsiTheme="minorEastAsia" w:eastAsiaTheme="minorEastAsia" w:cstheme="minorEastAsia"/>
          <w:bCs/>
          <w:sz w:val="24"/>
          <w:szCs w:val="24"/>
          <w:highlight w:val="none"/>
          <w:lang w:val="en-US" w:eastAsia="zh-CN"/>
        </w:rPr>
        <w:t>500</w:t>
      </w:r>
      <w:r>
        <w:rPr>
          <w:rFonts w:hint="eastAsia" w:asciiTheme="minorEastAsia" w:hAnsiTheme="minorEastAsia" w:eastAsiaTheme="minorEastAsia" w:cstheme="minorEastAsia"/>
          <w:bCs/>
          <w:sz w:val="24"/>
          <w:szCs w:val="24"/>
          <w:highlight w:val="none"/>
        </w:rPr>
        <w:t>Mbps互联网专线。</w:t>
      </w:r>
    </w:p>
    <w:p w14:paraId="1EF8AFDC">
      <w:pPr>
        <w:pStyle w:val="3"/>
        <w:numPr>
          <w:ilvl w:val="1"/>
          <w:numId w:val="7"/>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商务要求</w:t>
      </w:r>
    </w:p>
    <w:p w14:paraId="6478E4BB">
      <w:pPr>
        <w:tabs>
          <w:tab w:val="left" w:pos="525"/>
        </w:tabs>
        <w:spacing w:line="360" w:lineRule="auto"/>
        <w:ind w:firstLine="480"/>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补充服务期限、服务地点、支付条件及进度</w:t>
      </w:r>
    </w:p>
    <w:p w14:paraId="07789C68">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1.交货时间：应保证合同签订后3个工作日内（含3个工作日）完成专线开通及测试。</w:t>
      </w:r>
    </w:p>
    <w:p w14:paraId="330A94FD">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2.服务期：17个月</w:t>
      </w:r>
    </w:p>
    <w:p w14:paraId="3E8E0DAA">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3.服务交付地点：北京城市图书馆。</w:t>
      </w:r>
    </w:p>
    <w:p w14:paraId="649671FA">
      <w:pPr>
        <w:pStyle w:val="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4.本合同项下中标人向采购人提供的服务合同总价，分项价格详见第二条或合同附件，该价格为中标人履行本合同项下服务的全部费用，采购人不再另行向中标人支付费用。</w:t>
      </w:r>
    </w:p>
    <w:p w14:paraId="7FF6F7B2">
      <w:pPr>
        <w:pStyle w:val="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5.本合同签订且中标人支付履约保证金(若有),中标人完成本合同项下的服务，向采购人交付服务成果，并经采购人验收合格后一个月内采购人向中标人支付第一笔款，即合同总价60%;中标人完成本合同项下的服务，向采购人交付服务成果，经采购人验收合格，运行一个月后无故障，且本项目财政资金到账后一次性付清支付合同结算总价余款。</w:t>
      </w:r>
    </w:p>
    <w:p w14:paraId="1E286C64">
      <w:pPr>
        <w:pStyle w:val="2"/>
        <w:rPr>
          <w:rFonts w:hint="eastAsia" w:eastAsia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6.本项目各阶段最终付款方式需等财政资金到账后进行支付，如果财政资金到账迟延，采购人可因此延期支付货款，采购人不因此承担违约责任。</w:t>
      </w:r>
    </w:p>
    <w:p w14:paraId="0EB2B1EC">
      <w:pPr>
        <w:tabs>
          <w:tab w:val="left" w:pos="525"/>
        </w:tabs>
        <w:spacing w:line="360" w:lineRule="auto"/>
        <w:ind w:firstLine="480"/>
        <w:rPr>
          <w:rFonts w:hint="eastAsia" w:asciiTheme="minorEastAsia" w:hAnsiTheme="minorEastAsia" w:eastAsiaTheme="minorEastAsia" w:cstheme="minorEastAsia"/>
          <w:sz w:val="24"/>
          <w:szCs w:val="24"/>
          <w:highlight w:val="none"/>
        </w:rPr>
      </w:pPr>
    </w:p>
    <w:p w14:paraId="51197619">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为保障采购人线路的正常开通使用，投标人应提供能够承担此线路的资质条件，包括并不限于投标人公司简介、专业资质条件、成功经验案例等。</w:t>
      </w:r>
    </w:p>
    <w:p w14:paraId="3115D239">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1.投标人必须持有国家相关主管部门核发的、合法有效的电信业务经营许可证以证明其依法从事相关电信业务的资格。</w:t>
      </w:r>
    </w:p>
    <w:p w14:paraId="5D060622">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2.为保障服务的规范化与安全性，投标人应已建立并持续运行完善的管理体系，以体现其在质量、服务和信息安全方面的系统化管理能力。</w:t>
      </w:r>
    </w:p>
    <w:p w14:paraId="597832D0">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须提供自2023年1月1日起至本项目投标截止之日止，所完成的多项同类互联网专线或高质量网络接入服务的成功案例证明，用以直接佐证其解决类似复杂需求的实际经验与技术执行力。案例时间以合同签订时间为准。</w:t>
      </w:r>
    </w:p>
    <w:p w14:paraId="0A5FC24C">
      <w:pPr>
        <w:pStyle w:val="3"/>
        <w:numPr>
          <w:ilvl w:val="1"/>
          <w:numId w:val="7"/>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技术要求</w:t>
      </w:r>
    </w:p>
    <w:p w14:paraId="47FBD2B3">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1.线路技术要求</w:t>
      </w:r>
    </w:p>
    <w:p w14:paraId="0C7E3D9E">
      <w:pPr>
        <w:pStyle w:val="7"/>
        <w:snapToGrid w:val="0"/>
        <w:spacing w:line="56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互联网专线技术参数</w:t>
      </w:r>
    </w:p>
    <w:tbl>
      <w:tblPr>
        <w:tblStyle w:val="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13"/>
        <w:gridCol w:w="1708"/>
        <w:gridCol w:w="4267"/>
        <w:gridCol w:w="2824"/>
      </w:tblGrid>
      <w:tr w14:paraId="1415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shd w:val="clear" w:color="auto" w:fill="A6A6A6"/>
            <w:vAlign w:val="center"/>
          </w:tcPr>
          <w:p w14:paraId="2606AA8B">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613" w:type="dxa"/>
            <w:shd w:val="clear" w:color="auto" w:fill="A6A6A6"/>
            <w:vAlign w:val="center"/>
          </w:tcPr>
          <w:p w14:paraId="073F248C">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重要性</w:t>
            </w:r>
          </w:p>
        </w:tc>
        <w:tc>
          <w:tcPr>
            <w:tcW w:w="1708" w:type="dxa"/>
            <w:shd w:val="clear" w:color="auto" w:fill="A6A6A6"/>
            <w:vAlign w:val="center"/>
          </w:tcPr>
          <w:p w14:paraId="06F38809">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4267" w:type="dxa"/>
            <w:shd w:val="clear" w:color="auto" w:fill="A6A6A6"/>
            <w:vAlign w:val="center"/>
          </w:tcPr>
          <w:p w14:paraId="44ED5176">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c>
          <w:tcPr>
            <w:tcW w:w="2824" w:type="dxa"/>
            <w:shd w:val="clear" w:color="auto" w:fill="A6A6A6"/>
            <w:vAlign w:val="center"/>
          </w:tcPr>
          <w:p w14:paraId="5FA6E686">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证明材料要求</w:t>
            </w:r>
          </w:p>
        </w:tc>
      </w:tr>
      <w:tr w14:paraId="594E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2" w:type="dxa"/>
            <w:vAlign w:val="center"/>
          </w:tcPr>
          <w:p w14:paraId="39AB5EC2">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p>
        </w:tc>
        <w:tc>
          <w:tcPr>
            <w:tcW w:w="613" w:type="dxa"/>
            <w:vAlign w:val="center"/>
          </w:tcPr>
          <w:p w14:paraId="3E5E5F52">
            <w:pPr>
              <w:jc w:val="center"/>
              <w:rPr>
                <w:rFonts w:hint="eastAsia" w:asciiTheme="minorEastAsia" w:hAnsiTheme="minorEastAsia" w:eastAsiaTheme="minorEastAsia" w:cstheme="minorEastAsia"/>
                <w:b/>
                <w:sz w:val="24"/>
                <w:szCs w:val="24"/>
                <w:highlight w:val="none"/>
              </w:rPr>
            </w:pPr>
          </w:p>
        </w:tc>
        <w:tc>
          <w:tcPr>
            <w:tcW w:w="1708" w:type="dxa"/>
            <w:vAlign w:val="center"/>
          </w:tcPr>
          <w:p w14:paraId="5E454E58">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物理链路</w:t>
            </w:r>
          </w:p>
        </w:tc>
        <w:tc>
          <w:tcPr>
            <w:tcW w:w="4267" w:type="dxa"/>
            <w:vAlign w:val="center"/>
          </w:tcPr>
          <w:p w14:paraId="073E06C8">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光纤符合ITU-T G.652B标准的单模光纤，通过裸光纤到达</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人指定的机房位置，并与本地设备实现对接。</w:t>
            </w:r>
          </w:p>
        </w:tc>
        <w:tc>
          <w:tcPr>
            <w:tcW w:w="2824" w:type="dxa"/>
            <w:vMerge w:val="restart"/>
            <w:vAlign w:val="center"/>
          </w:tcPr>
          <w:p w14:paraId="6015C690">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提供承诺函并加盖投标人公章</w:t>
            </w:r>
          </w:p>
        </w:tc>
      </w:tr>
      <w:tr w14:paraId="11DE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2" w:type="dxa"/>
            <w:vAlign w:val="center"/>
          </w:tcPr>
          <w:p w14:paraId="277AE29E">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p>
        </w:tc>
        <w:tc>
          <w:tcPr>
            <w:tcW w:w="613" w:type="dxa"/>
            <w:vAlign w:val="center"/>
          </w:tcPr>
          <w:p w14:paraId="70A188F5">
            <w:pPr>
              <w:jc w:val="center"/>
              <w:rPr>
                <w:rFonts w:hint="eastAsia" w:asciiTheme="minorEastAsia" w:hAnsiTheme="minorEastAsia" w:eastAsiaTheme="minorEastAsia" w:cstheme="minorEastAsia"/>
                <w:b/>
                <w:sz w:val="24"/>
                <w:szCs w:val="24"/>
                <w:highlight w:val="none"/>
              </w:rPr>
            </w:pPr>
          </w:p>
        </w:tc>
        <w:tc>
          <w:tcPr>
            <w:tcW w:w="1708" w:type="dxa"/>
            <w:vAlign w:val="center"/>
          </w:tcPr>
          <w:p w14:paraId="7E298118">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bCs/>
                <w:sz w:val="24"/>
                <w:szCs w:val="24"/>
                <w:highlight w:val="none"/>
              </w:rPr>
              <w:t>接口类型</w:t>
            </w:r>
          </w:p>
        </w:tc>
        <w:tc>
          <w:tcPr>
            <w:tcW w:w="4267" w:type="dxa"/>
            <w:vAlign w:val="center"/>
          </w:tcPr>
          <w:p w14:paraId="22D8264B">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lang w:bidi="en-US"/>
              </w:rPr>
              <w:t>提供千兆光口或千兆电口</w:t>
            </w:r>
          </w:p>
        </w:tc>
        <w:tc>
          <w:tcPr>
            <w:tcW w:w="2824" w:type="dxa"/>
            <w:vMerge w:val="continue"/>
            <w:vAlign w:val="center"/>
          </w:tcPr>
          <w:p w14:paraId="1ED602E7">
            <w:pPr>
              <w:jc w:val="center"/>
              <w:rPr>
                <w:rFonts w:hint="eastAsia" w:asciiTheme="minorEastAsia" w:hAnsiTheme="minorEastAsia" w:eastAsiaTheme="minorEastAsia" w:cstheme="minorEastAsia"/>
                <w:sz w:val="24"/>
                <w:szCs w:val="24"/>
                <w:highlight w:val="none"/>
                <w:lang w:bidi="en-US"/>
              </w:rPr>
            </w:pPr>
          </w:p>
        </w:tc>
      </w:tr>
      <w:tr w14:paraId="257C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129E3DBB">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w:t>
            </w:r>
          </w:p>
        </w:tc>
        <w:tc>
          <w:tcPr>
            <w:tcW w:w="613" w:type="dxa"/>
            <w:vAlign w:val="center"/>
          </w:tcPr>
          <w:p w14:paraId="02918703">
            <w:pPr>
              <w:jc w:val="center"/>
              <w:rPr>
                <w:rFonts w:hint="eastAsia" w:asciiTheme="minorEastAsia" w:hAnsiTheme="minorEastAsia" w:eastAsiaTheme="minorEastAsia" w:cstheme="minorEastAsia"/>
                <w:sz w:val="24"/>
                <w:szCs w:val="24"/>
                <w:highlight w:val="none"/>
              </w:rPr>
            </w:pPr>
          </w:p>
        </w:tc>
        <w:tc>
          <w:tcPr>
            <w:tcW w:w="1708" w:type="dxa"/>
            <w:vAlign w:val="center"/>
          </w:tcPr>
          <w:p w14:paraId="72B8B130">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独享要求</w:t>
            </w:r>
          </w:p>
        </w:tc>
        <w:tc>
          <w:tcPr>
            <w:tcW w:w="4267" w:type="dxa"/>
            <w:vAlign w:val="center"/>
          </w:tcPr>
          <w:p w14:paraId="31C01C7B">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采购人接入设备出口至中标人骨干节点设备间带宽独享</w:t>
            </w:r>
            <w:r>
              <w:rPr>
                <w:rFonts w:hint="eastAsia" w:asciiTheme="minorEastAsia" w:hAnsiTheme="minorEastAsia" w:eastAsiaTheme="minorEastAsia" w:cstheme="minorEastAsia"/>
                <w:sz w:val="24"/>
                <w:szCs w:val="24"/>
                <w:highlight w:val="none"/>
                <w:lang w:bidi="en-US"/>
              </w:rPr>
              <w:t>。</w:t>
            </w:r>
          </w:p>
        </w:tc>
        <w:tc>
          <w:tcPr>
            <w:tcW w:w="2824" w:type="dxa"/>
            <w:vMerge w:val="continue"/>
            <w:vAlign w:val="center"/>
          </w:tcPr>
          <w:p w14:paraId="74A0F59F">
            <w:pPr>
              <w:jc w:val="center"/>
              <w:rPr>
                <w:rFonts w:hint="eastAsia" w:asciiTheme="minorEastAsia" w:hAnsiTheme="minorEastAsia" w:eastAsiaTheme="minorEastAsia" w:cstheme="minorEastAsia"/>
                <w:sz w:val="24"/>
                <w:szCs w:val="24"/>
                <w:highlight w:val="none"/>
                <w:lang w:bidi="en-US"/>
              </w:rPr>
            </w:pPr>
          </w:p>
        </w:tc>
      </w:tr>
      <w:tr w14:paraId="0299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0A7E09E6">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w:t>
            </w:r>
          </w:p>
        </w:tc>
        <w:tc>
          <w:tcPr>
            <w:tcW w:w="613" w:type="dxa"/>
            <w:vAlign w:val="center"/>
          </w:tcPr>
          <w:p w14:paraId="10E3D50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21AAA8D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IP地址要求</w:t>
            </w:r>
          </w:p>
        </w:tc>
        <w:tc>
          <w:tcPr>
            <w:tcW w:w="4267" w:type="dxa"/>
            <w:vAlign w:val="center"/>
          </w:tcPr>
          <w:p w14:paraId="3F09D133">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提供公网IPv4地址≥128个，/64前缀IPv6地址。</w:t>
            </w:r>
          </w:p>
        </w:tc>
        <w:tc>
          <w:tcPr>
            <w:tcW w:w="2824" w:type="dxa"/>
            <w:vMerge w:val="continue"/>
            <w:vAlign w:val="center"/>
          </w:tcPr>
          <w:p w14:paraId="5EA3874E">
            <w:pPr>
              <w:jc w:val="center"/>
              <w:rPr>
                <w:rFonts w:hint="eastAsia" w:asciiTheme="minorEastAsia" w:hAnsiTheme="minorEastAsia" w:eastAsiaTheme="minorEastAsia" w:cstheme="minorEastAsia"/>
                <w:sz w:val="24"/>
                <w:szCs w:val="24"/>
                <w:highlight w:val="none"/>
                <w:lang w:bidi="en-US"/>
              </w:rPr>
            </w:pPr>
          </w:p>
        </w:tc>
      </w:tr>
      <w:tr w14:paraId="1E1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0DBB3B1A">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w:t>
            </w:r>
          </w:p>
        </w:tc>
        <w:tc>
          <w:tcPr>
            <w:tcW w:w="613" w:type="dxa"/>
            <w:vAlign w:val="center"/>
          </w:tcPr>
          <w:p w14:paraId="31FED91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34688CB0">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承诺可用率</w:t>
            </w:r>
          </w:p>
        </w:tc>
        <w:tc>
          <w:tcPr>
            <w:tcW w:w="4267" w:type="dxa"/>
            <w:vAlign w:val="center"/>
          </w:tcPr>
          <w:p w14:paraId="41630C76">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承诺互联网专线带宽可用率≥99.9%</w:t>
            </w:r>
          </w:p>
        </w:tc>
        <w:tc>
          <w:tcPr>
            <w:tcW w:w="2824" w:type="dxa"/>
            <w:vMerge w:val="continue"/>
            <w:vAlign w:val="center"/>
          </w:tcPr>
          <w:p w14:paraId="5B36B6F7">
            <w:pPr>
              <w:jc w:val="center"/>
              <w:rPr>
                <w:rFonts w:hint="eastAsia" w:asciiTheme="minorEastAsia" w:hAnsiTheme="minorEastAsia" w:eastAsiaTheme="minorEastAsia" w:cstheme="minorEastAsia"/>
                <w:sz w:val="24"/>
                <w:szCs w:val="24"/>
                <w:highlight w:val="none"/>
                <w:lang w:bidi="en-US"/>
              </w:rPr>
            </w:pPr>
          </w:p>
        </w:tc>
      </w:tr>
      <w:tr w14:paraId="42F8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73672174">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w:t>
            </w:r>
          </w:p>
        </w:tc>
        <w:tc>
          <w:tcPr>
            <w:tcW w:w="613" w:type="dxa"/>
            <w:vAlign w:val="center"/>
          </w:tcPr>
          <w:p w14:paraId="270452D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7715356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延时率要求</w:t>
            </w:r>
          </w:p>
        </w:tc>
        <w:tc>
          <w:tcPr>
            <w:tcW w:w="4267" w:type="dxa"/>
            <w:vAlign w:val="center"/>
          </w:tcPr>
          <w:p w14:paraId="6ACD4EE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延时率≤50ms（至网内热点网站的Ping网络时延）。</w:t>
            </w:r>
          </w:p>
        </w:tc>
        <w:tc>
          <w:tcPr>
            <w:tcW w:w="2824" w:type="dxa"/>
            <w:vMerge w:val="continue"/>
            <w:vAlign w:val="center"/>
          </w:tcPr>
          <w:p w14:paraId="77511A3E">
            <w:pPr>
              <w:jc w:val="center"/>
              <w:rPr>
                <w:rFonts w:hint="eastAsia" w:asciiTheme="minorEastAsia" w:hAnsiTheme="minorEastAsia" w:eastAsiaTheme="minorEastAsia" w:cstheme="minorEastAsia"/>
                <w:sz w:val="24"/>
                <w:szCs w:val="24"/>
                <w:highlight w:val="none"/>
                <w:lang w:bidi="en-US"/>
              </w:rPr>
            </w:pPr>
          </w:p>
        </w:tc>
      </w:tr>
      <w:tr w14:paraId="6F78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8377EAA">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w:t>
            </w:r>
          </w:p>
        </w:tc>
        <w:tc>
          <w:tcPr>
            <w:tcW w:w="613" w:type="dxa"/>
            <w:vAlign w:val="center"/>
          </w:tcPr>
          <w:p w14:paraId="03DE4B40">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579E4E7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丢包率要求</w:t>
            </w:r>
          </w:p>
        </w:tc>
        <w:tc>
          <w:tcPr>
            <w:tcW w:w="4267" w:type="dxa"/>
            <w:vAlign w:val="center"/>
          </w:tcPr>
          <w:p w14:paraId="4ACEAD5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丢包率（Frame Loss）：≤1%（承诺带宽内）</w:t>
            </w:r>
          </w:p>
        </w:tc>
        <w:tc>
          <w:tcPr>
            <w:tcW w:w="2824" w:type="dxa"/>
            <w:vMerge w:val="continue"/>
            <w:vAlign w:val="center"/>
          </w:tcPr>
          <w:p w14:paraId="22BF863C">
            <w:pPr>
              <w:jc w:val="center"/>
              <w:rPr>
                <w:rFonts w:hint="eastAsia" w:asciiTheme="minorEastAsia" w:hAnsiTheme="minorEastAsia" w:eastAsiaTheme="minorEastAsia" w:cstheme="minorEastAsia"/>
                <w:sz w:val="24"/>
                <w:szCs w:val="24"/>
                <w:highlight w:val="none"/>
                <w:lang w:bidi="en-US"/>
              </w:rPr>
            </w:pPr>
          </w:p>
        </w:tc>
      </w:tr>
      <w:tr w14:paraId="3C86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8AFE71D">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w:t>
            </w:r>
          </w:p>
        </w:tc>
        <w:tc>
          <w:tcPr>
            <w:tcW w:w="613" w:type="dxa"/>
            <w:vAlign w:val="center"/>
          </w:tcPr>
          <w:p w14:paraId="381503DC">
            <w:pPr>
              <w:jc w:val="center"/>
              <w:rPr>
                <w:rFonts w:hint="eastAsia" w:asciiTheme="minorEastAsia" w:hAnsiTheme="minorEastAsia" w:eastAsiaTheme="minorEastAsia" w:cstheme="minorEastAsia"/>
                <w:sz w:val="24"/>
                <w:szCs w:val="24"/>
                <w:highlight w:val="none"/>
              </w:rPr>
            </w:pPr>
          </w:p>
        </w:tc>
        <w:tc>
          <w:tcPr>
            <w:tcW w:w="1708" w:type="dxa"/>
            <w:vAlign w:val="center"/>
          </w:tcPr>
          <w:p w14:paraId="059AB67D">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网络建设要求</w:t>
            </w:r>
          </w:p>
        </w:tc>
        <w:tc>
          <w:tcPr>
            <w:tcW w:w="4267" w:type="dxa"/>
            <w:vAlign w:val="center"/>
          </w:tcPr>
          <w:p w14:paraId="3D765695">
            <w:pPr>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本项目建设地点为北京城市图书馆，须提供相关的接入设备，并提供相关网络资源及服务人员配合北京城市图书馆完成网络架构调整。</w:t>
            </w:r>
          </w:p>
        </w:tc>
        <w:tc>
          <w:tcPr>
            <w:tcW w:w="2824" w:type="dxa"/>
            <w:vAlign w:val="center"/>
          </w:tcPr>
          <w:p w14:paraId="221CE892">
            <w:pPr>
              <w:jc w:val="center"/>
              <w:rPr>
                <w:rFonts w:hint="eastAsia" w:asciiTheme="minorEastAsia" w:hAnsiTheme="minorEastAsia" w:eastAsiaTheme="minorEastAsia" w:cstheme="minorEastAsia"/>
                <w:b/>
                <w:sz w:val="24"/>
                <w:szCs w:val="24"/>
                <w:highlight w:val="none"/>
              </w:rPr>
            </w:pPr>
          </w:p>
        </w:tc>
      </w:tr>
    </w:tbl>
    <w:p w14:paraId="46AEF06C">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2.链路要求 </w:t>
      </w:r>
    </w:p>
    <w:p w14:paraId="6846E77C">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确保为本项目提供的互联网专线服务具备资源可控性、高可用性与优质性能，对投标人网络基础资源及架构提出如下明确要求：</w:t>
      </w:r>
    </w:p>
    <w:p w14:paraId="01B4B7D1">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保证服务链路的稳定可靠与长期服务能力，避免因资源权属不清或多次转接引入的不确定性风险，投标人为本项目提供的端到端物理传输链路及最终互联网带宽出口，需为投标人自建、自有的核心网络资源，或在本项目</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指定的服务区域内已持有合法、有效且长期的管道（或光纤）租用协议。</w:t>
      </w:r>
    </w:p>
    <w:p w14:paraId="6CBC2F04">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（2）网络架构与性能要求</w:t>
      </w:r>
    </w:p>
    <w:p w14:paraId="14AF5EAD">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为保证为本项目提供的网络服务具备高稳定性、低故障率与低延迟特性，投标人需确保其网络架构能够实现从采购人指定的出口设备接入点至其自有骨干网络节点的最短路径、最优路由接入。</w:t>
      </w:r>
    </w:p>
    <w:p w14:paraId="4CD2B429">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3.周边资源覆盖要求</w:t>
      </w:r>
    </w:p>
    <w:p w14:paraId="00BA9400">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为确保项目的服务响应效率、故障处理的及时性以及未来网络扩展的便利性，投标人必须具备在招标方所在区域及周边具备切实、可验证的网络资源覆盖与快速接入能力。</w:t>
      </w:r>
    </w:p>
    <w:p w14:paraId="5C6FC973">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4.海外资源访问要求</w:t>
      </w:r>
    </w:p>
    <w:p w14:paraId="642591E5">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为保障采购人海外资源访问需求，要求投标人具备海外出口带宽。投标人</w:t>
      </w:r>
      <w:r>
        <w:rPr>
          <w:rFonts w:hint="eastAsia" w:asciiTheme="minorEastAsia" w:hAnsiTheme="minorEastAsia" w:eastAsiaTheme="minorEastAsia" w:cstheme="minorEastAsia"/>
          <w:sz w:val="24"/>
          <w:szCs w:val="24"/>
          <w:highlight w:val="none"/>
          <w:lang w:eastAsia="zh-CN"/>
        </w:rPr>
        <w:t>具备自有或租用的</w:t>
      </w:r>
      <w:r>
        <w:rPr>
          <w:rFonts w:hint="eastAsia" w:asciiTheme="minorEastAsia" w:hAnsiTheme="minorEastAsia" w:eastAsiaTheme="minorEastAsia" w:cstheme="minorEastAsia"/>
          <w:sz w:val="24"/>
          <w:szCs w:val="24"/>
          <w:highlight w:val="none"/>
        </w:rPr>
        <w:t>国际互联出口，且具备骨干网络国际出口带宽。</w:t>
      </w:r>
    </w:p>
    <w:p w14:paraId="4CE82E87">
      <w:pPr>
        <w:pStyle w:val="3"/>
        <w:numPr>
          <w:ilvl w:val="1"/>
          <w:numId w:val="7"/>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服务要求</w:t>
      </w:r>
    </w:p>
    <w:p w14:paraId="2001E958">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1.项目实施要求</w:t>
      </w:r>
    </w:p>
    <w:p w14:paraId="77106F6C">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为保障项目的顺利实施与有效交付，投标人须针对本项目特点编制详细且具针对性的技术及服务实施方案。</w:t>
      </w:r>
    </w:p>
    <w:p w14:paraId="1FC27C6A">
      <w:pPr>
        <w:pStyle w:val="1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提供项目实施方案，阐述为履行本项目合同而设立的项目组织管理体系，明确拟投入本项目的核心管理与技术人员名单，并清晰界定其在项目中的具体职责与分工。</w:t>
      </w:r>
    </w:p>
    <w:p w14:paraId="0CBCB0EB">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应提供详细的网络资源部署与线路实施方案，详细说明为满足本项目的具体带宽与性能需求，所规划的网络节点部署位置，清晰的开通线路路由设计图。提供完整的项目实施进度计划表，覆盖从合同生效至全部服务交付完成的全过程。</w:t>
      </w:r>
    </w:p>
    <w:p w14:paraId="7AD80298">
      <w:pPr>
        <w:pStyle w:val="1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实施过程控制：提供项目实施方案，说明如何利用人力及其它资源来承担其合同项下整体的项目顺利实施及按期交付。该方案应包括服务组织架构、人员组成及职责、服务商针对所需带宽的节点部署及线路情况，并提供详细的实施计划进度表，需标明完成合同所有关键活动的预计时间。投标人应为本项目设立项目经理及技术实施人员</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满足不少于5人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含</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的技术实施团队</w:t>
      </w:r>
      <w:r>
        <w:rPr>
          <w:rFonts w:hint="eastAsia" w:asciiTheme="minorEastAsia" w:hAnsiTheme="minorEastAsia" w:eastAsiaTheme="minorEastAsia" w:cstheme="minorEastAsia"/>
          <w:sz w:val="24"/>
          <w:szCs w:val="24"/>
          <w:highlight w:val="none"/>
          <w:lang w:eastAsia="zh-CN"/>
        </w:rPr>
        <w:t>，团队</w:t>
      </w:r>
      <w:r>
        <w:rPr>
          <w:rFonts w:hint="eastAsia" w:asciiTheme="minorEastAsia" w:hAnsiTheme="minorEastAsia" w:eastAsiaTheme="minorEastAsia" w:cstheme="minorEastAsia"/>
          <w:sz w:val="24"/>
          <w:szCs w:val="24"/>
          <w:highlight w:val="none"/>
          <w:lang w:val="en-US" w:eastAsia="zh-CN"/>
        </w:rPr>
        <w:t>应有成员</w:t>
      </w:r>
      <w:r>
        <w:rPr>
          <w:rFonts w:hint="eastAsia" w:asciiTheme="minorEastAsia" w:hAnsiTheme="minorEastAsia" w:eastAsiaTheme="minorEastAsia" w:cstheme="minorEastAsia"/>
          <w:sz w:val="24"/>
          <w:szCs w:val="24"/>
          <w:highlight w:val="none"/>
          <w:lang w:eastAsia="zh-CN"/>
        </w:rPr>
        <w:t>具备通信专业高级工程师和通信专业中级工程师</w:t>
      </w:r>
      <w:r>
        <w:rPr>
          <w:rFonts w:hint="eastAsia" w:asciiTheme="minorEastAsia" w:hAnsiTheme="minorEastAsia" w:eastAsiaTheme="minorEastAsia" w:cstheme="minorEastAsia"/>
          <w:sz w:val="24"/>
          <w:szCs w:val="24"/>
          <w:highlight w:val="none"/>
          <w:lang w:val="en-US" w:eastAsia="zh-CN"/>
        </w:rPr>
        <w:t>证书</w:t>
      </w:r>
      <w:r>
        <w:rPr>
          <w:rFonts w:hint="eastAsia" w:asciiTheme="minorEastAsia" w:hAnsiTheme="minorEastAsia" w:eastAsiaTheme="minorEastAsia" w:cstheme="minorEastAsia"/>
          <w:spacing w:val="-1"/>
          <w:sz w:val="24"/>
          <w:szCs w:val="24"/>
          <w:highlight w:val="none"/>
          <w:lang w:val="zh-CN"/>
        </w:rPr>
        <w:t>。</w:t>
      </w:r>
    </w:p>
    <w:p w14:paraId="7ACAFC7D">
      <w:p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（2）项目实施文档管理承诺：项目实施过程中所收集、产生的所有与本项目相关文档、资料， 包括文字、图片、表格、数字等各种形式所属权均归属采购人，投标人有义务对所涉及到的内容保密，应按照要求签署保密协议。</w:t>
      </w:r>
    </w:p>
    <w:p w14:paraId="3D687252">
      <w:pPr>
        <w:pStyle w:val="2"/>
        <w:spacing w:line="360" w:lineRule="auto"/>
        <w:ind w:firstLine="476" w:firstLineChars="200"/>
        <w:rPr>
          <w:rFonts w:hint="eastAsia" w:asciiTheme="minorEastAsia" w:hAnsiTheme="minorEastAsia" w:eastAsiaTheme="minorEastAsia" w:cstheme="minorEastAsia"/>
          <w:spacing w:val="-1"/>
          <w:sz w:val="24"/>
          <w:szCs w:val="24"/>
          <w:highlight w:val="none"/>
          <w:lang w:val="zh-CN"/>
        </w:rPr>
      </w:pPr>
      <w:r>
        <w:rPr>
          <w:rFonts w:hint="eastAsia" w:asciiTheme="minorEastAsia" w:hAnsiTheme="minorEastAsia" w:eastAsiaTheme="minorEastAsia" w:cstheme="minorEastAsia"/>
          <w:spacing w:val="-1"/>
          <w:sz w:val="24"/>
          <w:szCs w:val="24"/>
          <w:highlight w:val="none"/>
          <w:lang w:val="zh-CN"/>
        </w:rPr>
        <w:t>（3）投标人应明确交付时长，保证合同签订后3-5个工作日（含5个工作日）完成专线开通及测试。如未按时交付，项目所产生的相关费用由投标人承担。</w:t>
      </w:r>
    </w:p>
    <w:p w14:paraId="26699936">
      <w:pPr>
        <w:pStyle w:val="4"/>
        <w:numPr>
          <w:ilvl w:val="0"/>
          <w:numId w:val="2"/>
        </w:numPr>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系统割接要求</w:t>
      </w:r>
    </w:p>
    <w:p w14:paraId="4DE95330">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为保证线路能够正常使用，带宽稳定、避免产生故障及网络延迟，投标人需全力配合采购人完成系统网络迁移、网站备案等相关工作，全程提供专业技术支持，确保各项工作合规有序推进。</w:t>
      </w:r>
    </w:p>
    <w:p w14:paraId="0F3F4024">
      <w:pPr>
        <w:pStyle w:val="4"/>
        <w:numPr>
          <w:ilvl w:val="0"/>
          <w:numId w:val="2"/>
        </w:numPr>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运维服务方案要求</w:t>
      </w:r>
    </w:p>
    <w:p w14:paraId="0F266CE7">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应了解客户需求，精准分析图书馆网络运行负载、故障频次、安全隐患等现状及采购需求。提供详细的运维服务方案，如定期巡检服务、日常保障、服务响应时间与流程、服务管理制度等，做好网络带宽监测、数据备份、病毒防护，规范人员值守、工单流转、客户沟通流程，并结合网络运行数据，提出带宽扩容、链路冗余、系统优化等改进建议。</w:t>
      </w:r>
    </w:p>
    <w:p w14:paraId="6479FE8C">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投标人应严格执行国家、行业关于安全生产的各项规章制度，细化内部工作要求，并将安全生产作为岗前教育的重要内容，确保运维工作规范化。</w:t>
      </w:r>
    </w:p>
    <w:p w14:paraId="76615F5C">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投标人获得与本项目相关的采购人的保密信息，应当采取适当有效的方式保护所获取的信息，未经授权不得使用、传播或者公开，投标人不得以任何形式向第三方透露本项目标书以及本项目的任何内容。</w:t>
      </w:r>
    </w:p>
    <w:p w14:paraId="44629713">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 重大活动应急保障服务要求</w:t>
      </w:r>
    </w:p>
    <w:p w14:paraId="10BF0ED2">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为保障本项目服务在国家、地方或行业重大活动期间及突发事件中的稳定、可靠与安全运行，投标人须提交一份完整的重大活动应急保障方案。</w:t>
      </w:r>
    </w:p>
    <w:p w14:paraId="0E29122B">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明确针对重大活动及突发事件的应急指挥体系，并详细说明各岗位在应急状态下的职责、权限及协作机制。</w:t>
      </w:r>
    </w:p>
    <w:p w14:paraId="5989B204">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阐述在重大活动保障期前后及期间，为提升系统健壮性、防范风险所采取的具体技术与管理措施。</w:t>
      </w:r>
    </w:p>
    <w:p w14:paraId="26CC423E">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针对可能出现的不同等级、不同类型的突发事件，制定分级分类的响应策略。明确各类事件的判定标准、内部通报流程、决策机制及初步处置原则。</w:t>
      </w:r>
    </w:p>
    <w:p w14:paraId="177A68E9">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制定专门针对本项目所涉网络的、具体且可操作的应急预案。</w:t>
      </w:r>
    </w:p>
    <w:p w14:paraId="2605E5C1">
      <w:pPr>
        <w:pStyle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ab/>
      </w:r>
      <w:r>
        <w:rPr>
          <w:rFonts w:hint="eastAsia" w:asciiTheme="minorEastAsia" w:hAnsiTheme="minorEastAsia" w:eastAsiaTheme="minorEastAsia" w:cstheme="minorEastAsia"/>
          <w:highlight w:val="none"/>
        </w:rPr>
        <w:t>提供重大活动保障所需的专项资源保障方案，明确应急物资、备用设备、支撑工具、通讯保障等资源配置、储备及快速调度机制，满足全天候应急处置需求。</w:t>
      </w:r>
    </w:p>
    <w:p w14:paraId="20BF2AE2">
      <w:pPr>
        <w:pStyle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ab/>
      </w:r>
      <w:r>
        <w:rPr>
          <w:rFonts w:hint="eastAsia" w:asciiTheme="minorEastAsia" w:hAnsiTheme="minorEastAsia" w:eastAsiaTheme="minorEastAsia" w:cstheme="minorEastAsia"/>
          <w:highlight w:val="none"/>
          <w:lang w:val="en-US" w:eastAsia="zh-CN"/>
        </w:rPr>
        <w:t>提供</w:t>
      </w:r>
      <w:r>
        <w:rPr>
          <w:rFonts w:hint="eastAsia" w:asciiTheme="minorEastAsia" w:hAnsiTheme="minorEastAsia" w:eastAsiaTheme="minorEastAsia" w:cstheme="minorEastAsia"/>
          <w:highlight w:val="none"/>
        </w:rPr>
        <w:t>重大活动保障全过程服务追溯与改进机制，实现事件处置、响应流程、处置结果可追溯、可核查，并形成复盘总结与持续优化机制。</w:t>
      </w:r>
    </w:p>
    <w:p w14:paraId="175ED7AB">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要求方案内容系统、具体，专门为本项目及重大活动保障场景量身定制，各项措施、策略和预案深度符合采购需求，贴近实际情况，具备很强的实战指导价值。</w:t>
      </w:r>
    </w:p>
    <w:p w14:paraId="50E6D76A">
      <w:pPr>
        <w:pStyle w:val="2"/>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为全面证明投标人在重大活动应急保障领域的专业能力与实战经验，投标人需提供重大活动应急保障服务案例文件，涵盖项目背景、实施过程及结果等。</w:t>
      </w:r>
    </w:p>
    <w:p w14:paraId="693AAA39">
      <w:pPr>
        <w:pStyle w:val="4"/>
        <w:snapToGrid w:val="0"/>
        <w:spacing w:line="560" w:lineRule="exact"/>
        <w:rPr>
          <w:rFonts w:hint="eastAsia" w:asciiTheme="minorEastAsia" w:hAnsiTheme="minorEastAsia" w:eastAsiaTheme="minorEastAsia" w:cstheme="minorEastAsia"/>
          <w:b w:val="0"/>
          <w:sz w:val="24"/>
          <w:szCs w:val="24"/>
          <w:highlight w:val="none"/>
          <w:u w:val="none"/>
        </w:rPr>
      </w:pPr>
      <w:r>
        <w:rPr>
          <w:rFonts w:hint="eastAsia" w:asciiTheme="minorEastAsia" w:hAnsiTheme="minorEastAsia" w:eastAsiaTheme="minorEastAsia" w:cstheme="minorEastAsia"/>
          <w:b w:val="0"/>
          <w:sz w:val="24"/>
          <w:szCs w:val="24"/>
          <w:highlight w:val="none"/>
          <w:u w:val="none"/>
        </w:rPr>
        <w:t>·其他材料（投标人可根据实际情况提供其他项目佐证材料）。</w:t>
      </w:r>
    </w:p>
    <w:p w14:paraId="4FA7F16C">
      <w:pPr>
        <w:pStyle w:val="2"/>
        <w:rPr>
          <w:rFonts w:hint="eastAsia"/>
          <w:highlight w:val="none"/>
          <w:lang w:val="en-US" w:eastAsia="zh-CN"/>
        </w:rPr>
      </w:pPr>
    </w:p>
    <w:p w14:paraId="69B94337">
      <w:pPr>
        <w:rPr>
          <w:rFonts w:hint="default"/>
          <w:highlight w:val="none"/>
          <w:lang w:val="en-US"/>
        </w:rPr>
      </w:pPr>
    </w:p>
    <w:p w14:paraId="52DC3930">
      <w:pPr>
        <w:pStyle w:val="2"/>
        <w:rPr>
          <w:highlight w:val="none"/>
        </w:rPr>
      </w:pPr>
    </w:p>
    <w:p w14:paraId="7F1F9CDC">
      <w:pPr>
        <w:rPr>
          <w:highlight w:val="none"/>
        </w:rPr>
      </w:pPr>
    </w:p>
    <w:p w14:paraId="23919E46">
      <w:pPr>
        <w:pStyle w:val="2"/>
        <w:jc w:val="center"/>
        <w:outlineLvl w:val="1"/>
        <w:rPr>
          <w:highlight w:val="none"/>
          <w:lang w:val="en-US" w:eastAsia="zh-CN"/>
        </w:rPr>
      </w:pPr>
      <w:r>
        <w:rPr>
          <w:b/>
          <w:sz w:val="36"/>
          <w:szCs w:val="36"/>
          <w:highlight w:val="none"/>
        </w:rPr>
        <w:br w:type="page"/>
      </w:r>
      <w:bookmarkStart w:id="13" w:name="_Toc30620"/>
      <w:bookmarkStart w:id="14" w:name="_Toc32119"/>
      <w:bookmarkStart w:id="15" w:name="_Toc24649"/>
      <w:r>
        <w:rPr>
          <w:rFonts w:hint="eastAsia"/>
          <w:b/>
          <w:bCs w:val="0"/>
          <w:szCs w:val="21"/>
          <w:highlight w:val="none"/>
        </w:rPr>
        <w:t>首都图书馆2026年互联网专线接入费及政务云服务采购项目</w:t>
      </w:r>
      <w:r>
        <w:rPr>
          <w:rFonts w:hint="eastAsia"/>
          <w:b/>
          <w:bCs w:val="0"/>
          <w:szCs w:val="21"/>
          <w:highlight w:val="none"/>
          <w:lang w:val="en-US" w:eastAsia="zh-CN"/>
        </w:rPr>
        <w:t>第四包首图主线1</w:t>
      </w:r>
      <w:bookmarkEnd w:id="13"/>
      <w:bookmarkEnd w:id="14"/>
      <w:bookmarkEnd w:id="15"/>
    </w:p>
    <w:p w14:paraId="7BCF3A36">
      <w:pPr>
        <w:pStyle w:val="3"/>
        <w:numPr>
          <w:ilvl w:val="1"/>
          <w:numId w:val="8"/>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采购标的</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5"/>
        <w:gridCol w:w="1686"/>
        <w:gridCol w:w="971"/>
        <w:gridCol w:w="1243"/>
        <w:gridCol w:w="1731"/>
      </w:tblGrid>
      <w:tr w14:paraId="67A4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5" w:type="dxa"/>
            <w:vAlign w:val="center"/>
          </w:tcPr>
          <w:p w14:paraId="5846E8DF">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bCs/>
                <w:szCs w:val="21"/>
                <w:highlight w:val="none"/>
              </w:rPr>
              <w:t>标的名称</w:t>
            </w:r>
          </w:p>
        </w:tc>
        <w:tc>
          <w:tcPr>
            <w:tcW w:w="1686" w:type="dxa"/>
            <w:vAlign w:val="center"/>
          </w:tcPr>
          <w:p w14:paraId="7C909B97">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货物或服务名称</w:t>
            </w:r>
          </w:p>
        </w:tc>
        <w:tc>
          <w:tcPr>
            <w:tcW w:w="971" w:type="dxa"/>
            <w:vAlign w:val="center"/>
          </w:tcPr>
          <w:p w14:paraId="0F286C47">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243" w:type="dxa"/>
            <w:vAlign w:val="center"/>
          </w:tcPr>
          <w:p w14:paraId="0EF101FC">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1731" w:type="dxa"/>
            <w:vAlign w:val="center"/>
          </w:tcPr>
          <w:p w14:paraId="69BC8216">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备注：（采购资金）</w:t>
            </w:r>
          </w:p>
          <w:p w14:paraId="44A9EF32">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单位：万元</w:t>
            </w:r>
          </w:p>
        </w:tc>
      </w:tr>
      <w:tr w14:paraId="1DD8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5" w:type="dxa"/>
            <w:vAlign w:val="center"/>
          </w:tcPr>
          <w:p w14:paraId="0C914492">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bCs/>
                <w:szCs w:val="21"/>
                <w:highlight w:val="none"/>
              </w:rPr>
              <w:t>首都图书馆2026年互联网专线接入费及政务云服务采购项目</w:t>
            </w:r>
            <w:r>
              <w:rPr>
                <w:rFonts w:hint="eastAsia"/>
                <w:bCs/>
                <w:szCs w:val="21"/>
                <w:highlight w:val="none"/>
                <w:lang w:val="en-US" w:eastAsia="zh-CN"/>
              </w:rPr>
              <w:t>第四包首图主线1</w:t>
            </w:r>
          </w:p>
        </w:tc>
        <w:tc>
          <w:tcPr>
            <w:tcW w:w="1686" w:type="dxa"/>
          </w:tcPr>
          <w:p w14:paraId="49CADC8F">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租用500Mbps互联网专线</w:t>
            </w:r>
          </w:p>
        </w:tc>
        <w:tc>
          <w:tcPr>
            <w:tcW w:w="971" w:type="dxa"/>
          </w:tcPr>
          <w:p w14:paraId="3806C8EB">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243" w:type="dxa"/>
          </w:tcPr>
          <w:p w14:paraId="183AD8D0">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w:t>
            </w:r>
          </w:p>
        </w:tc>
        <w:tc>
          <w:tcPr>
            <w:tcW w:w="1731" w:type="dxa"/>
          </w:tcPr>
          <w:p w14:paraId="46BF1636">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67.609</w:t>
            </w:r>
          </w:p>
        </w:tc>
      </w:tr>
    </w:tbl>
    <w:p w14:paraId="0269E511">
      <w:pPr>
        <w:pStyle w:val="12"/>
        <w:adjustRightInd w:val="0"/>
        <w:snapToGrid w:val="0"/>
        <w:spacing w:line="56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基本需求：</w:t>
      </w:r>
      <w:r>
        <w:rPr>
          <w:rFonts w:hint="eastAsia" w:asciiTheme="minorEastAsia" w:hAnsiTheme="minorEastAsia" w:eastAsiaTheme="minorEastAsia" w:cstheme="minorEastAsia"/>
          <w:b w:val="0"/>
          <w:bCs/>
          <w:color w:val="auto"/>
          <w:sz w:val="24"/>
          <w:szCs w:val="24"/>
          <w:highlight w:val="none"/>
        </w:rPr>
        <w:t>为促进</w:t>
      </w:r>
      <w:r>
        <w:rPr>
          <w:rFonts w:hint="eastAsia" w:asciiTheme="minorEastAsia" w:hAnsiTheme="minorEastAsia" w:eastAsiaTheme="minorEastAsia" w:cstheme="minorEastAsia"/>
          <w:b w:val="0"/>
          <w:bCs/>
          <w:color w:val="auto"/>
          <w:sz w:val="24"/>
          <w:szCs w:val="24"/>
          <w:highlight w:val="none"/>
          <w:lang w:val="en-US" w:eastAsia="zh-CN"/>
        </w:rPr>
        <w:t>首都</w:t>
      </w:r>
      <w:r>
        <w:rPr>
          <w:rFonts w:hint="eastAsia" w:asciiTheme="minorEastAsia" w:hAnsiTheme="minorEastAsia" w:eastAsiaTheme="minorEastAsia" w:cstheme="minorEastAsia"/>
          <w:b w:val="0"/>
          <w:bCs/>
          <w:color w:val="auto"/>
          <w:sz w:val="24"/>
          <w:szCs w:val="24"/>
          <w:highlight w:val="none"/>
        </w:rPr>
        <w:t>图书馆信息化发展，保障图书馆系统访问、全球最新图书咨询信息访问、日常办公业务需求、图书馆WIFI系统等，本项目计划采购1条500Mbps互联网专线。</w:t>
      </w:r>
    </w:p>
    <w:p w14:paraId="08E956BA">
      <w:pPr>
        <w:pStyle w:val="3"/>
        <w:numPr>
          <w:ilvl w:val="1"/>
          <w:numId w:val="8"/>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商务要求</w:t>
      </w:r>
    </w:p>
    <w:p w14:paraId="52710DE9">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1.服务期：17个月。</w:t>
      </w:r>
    </w:p>
    <w:p w14:paraId="452B8793">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2.服务交付地点：首都图书馆。</w:t>
      </w:r>
    </w:p>
    <w:p w14:paraId="107CF7DB">
      <w:pPr>
        <w:tabs>
          <w:tab w:val="left" w:pos="525"/>
        </w:tabs>
        <w:spacing w:line="360" w:lineRule="auto"/>
        <w:ind w:firstLine="48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3.交货时间：应保证合同签订后3-5个工作日（含5个工作日）完成专线开通及测试。</w:t>
      </w:r>
    </w:p>
    <w:p w14:paraId="058A7635">
      <w:pPr>
        <w:tabs>
          <w:tab w:val="left" w:pos="525"/>
        </w:tabs>
        <w:spacing w:line="360" w:lineRule="auto"/>
        <w:ind w:firstLine="48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4.本合同项下中标人向采购人提供的服务合同总价，分项价格详见第二条或合同附件，该价格为中标人履行本合同项下服务的全部费用，采购人不再另行向中标人支付费用。</w:t>
      </w:r>
    </w:p>
    <w:p w14:paraId="1EA83B26">
      <w:pPr>
        <w:tabs>
          <w:tab w:val="left" w:pos="525"/>
        </w:tabs>
        <w:spacing w:line="360" w:lineRule="auto"/>
        <w:ind w:firstLine="48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ab/>
      </w:r>
      <w:r>
        <w:rPr>
          <w:rFonts w:hint="eastAsia" w:asciiTheme="minorEastAsia" w:hAnsiTheme="minorEastAsia" w:eastAsiaTheme="minorEastAsia" w:cstheme="minorEastAsia"/>
          <w:sz w:val="24"/>
          <w:highlight w:val="none"/>
          <w:lang w:val="en-US" w:eastAsia="zh-CN"/>
        </w:rPr>
        <w:t>5.本合同签订且中标人支付履约保证金(若有),中标人完成本合同项下的服务，向采购人交付服务成果，并经采购人验收合格后一个月内采购人向中标人支付第一笔款，即合同总价60%;中标人完成本合同项下的服务，向采购人交付服务成果，经采购人验收合格，运行一个月后无故障，且本项目财政资金到账后一次性付清支付合同结算总价余款。</w:t>
      </w:r>
    </w:p>
    <w:p w14:paraId="1E573C37">
      <w:pPr>
        <w:tabs>
          <w:tab w:val="left" w:pos="525"/>
        </w:tabs>
        <w:spacing w:line="360" w:lineRule="auto"/>
        <w:ind w:firstLine="480"/>
        <w:rPr>
          <w:rFonts w:hint="default" w:eastAsia="宋体"/>
          <w:highlight w:val="none"/>
          <w:lang w:val="en-US" w:eastAsia="zh-CN"/>
        </w:rPr>
      </w:pPr>
      <w:r>
        <w:rPr>
          <w:rFonts w:hint="eastAsia" w:asciiTheme="minorEastAsia" w:hAnsiTheme="minorEastAsia" w:eastAsiaTheme="minorEastAsia" w:cstheme="minorEastAsia"/>
          <w:sz w:val="24"/>
          <w:highlight w:val="none"/>
          <w:lang w:val="en-US" w:eastAsia="zh-CN"/>
        </w:rPr>
        <w:tab/>
      </w:r>
      <w:r>
        <w:rPr>
          <w:rFonts w:hint="eastAsia" w:asciiTheme="minorEastAsia" w:hAnsiTheme="minorEastAsia" w:eastAsiaTheme="minorEastAsia" w:cstheme="minorEastAsia"/>
          <w:sz w:val="24"/>
          <w:highlight w:val="none"/>
          <w:lang w:val="en-US" w:eastAsia="zh-CN"/>
        </w:rPr>
        <w:t>6.本项目各阶段最终付款方式需等财政资金到账后进行支付，如果财政资金到账迟延，采购人可因此延期支付货款，采购人不因此承担违约责任。</w:t>
      </w:r>
    </w:p>
    <w:p w14:paraId="1872D71E">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投标人须具备履行合同所必需的专业资质及成功经验。</w:t>
      </w:r>
    </w:p>
    <w:p w14:paraId="5291FB97">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1.投标人必须持有国家相关主管部门核发的、合法有效的电信业务经营许可证以证明其依法从事相关电信业务的资格。</w:t>
      </w:r>
    </w:p>
    <w:p w14:paraId="1434C635">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2.为保障服务的规范化与安全性，投标人应已建立并持续运行完善的管理体系，以体现其在质量、服务和信息安全方面的系统化管理能力。</w:t>
      </w:r>
    </w:p>
    <w:p w14:paraId="01C3FB21">
      <w:pPr>
        <w:tabs>
          <w:tab w:val="left" w:pos="525"/>
        </w:tabs>
        <w:spacing w:line="360" w:lineRule="auto"/>
        <w:ind w:firstLine="48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3.投标人须提供自202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年1月1日起至本项目投标截止之日止，所完成的多项同类互联网专线或高质量网络接入服务的成功案例证明，用以直接佐证其解决类似复杂需求的实际经验与技术执行力。</w:t>
      </w:r>
      <w:r>
        <w:rPr>
          <w:rFonts w:hint="eastAsia" w:asciiTheme="minorEastAsia" w:hAnsiTheme="minorEastAsia" w:eastAsiaTheme="minorEastAsia" w:cstheme="minorEastAsia"/>
          <w:sz w:val="24"/>
          <w:szCs w:val="24"/>
          <w:highlight w:val="none"/>
          <w:lang w:val="en-US" w:eastAsia="zh-CN"/>
        </w:rPr>
        <w:t>案例时间以合同签订时间为准。</w:t>
      </w:r>
    </w:p>
    <w:p w14:paraId="755622E2">
      <w:pPr>
        <w:pStyle w:val="3"/>
        <w:numPr>
          <w:ilvl w:val="1"/>
          <w:numId w:val="8"/>
        </w:numPr>
        <w:autoSpaceDE/>
        <w:autoSpaceDN/>
        <w:snapToGrid w:val="0"/>
        <w:spacing w:before="260" w:after="260" w:line="560" w:lineRule="exact"/>
        <w:ind w:left="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技术要求</w:t>
      </w:r>
    </w:p>
    <w:p w14:paraId="09977290">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1.线路技术要求</w:t>
      </w:r>
    </w:p>
    <w:p w14:paraId="6C8D3E82">
      <w:pPr>
        <w:pStyle w:val="7"/>
        <w:snapToGrid w:val="0"/>
        <w:spacing w:line="56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互联网专线技术参数</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13"/>
        <w:gridCol w:w="1708"/>
        <w:gridCol w:w="4267"/>
        <w:gridCol w:w="2198"/>
      </w:tblGrid>
      <w:tr w14:paraId="7EE5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shd w:val="clear" w:color="auto" w:fill="A6A6A6"/>
            <w:vAlign w:val="center"/>
          </w:tcPr>
          <w:p w14:paraId="75D1FD35">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613" w:type="dxa"/>
            <w:shd w:val="clear" w:color="auto" w:fill="A6A6A6"/>
            <w:vAlign w:val="center"/>
          </w:tcPr>
          <w:p w14:paraId="61C4400B">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重要性</w:t>
            </w:r>
          </w:p>
        </w:tc>
        <w:tc>
          <w:tcPr>
            <w:tcW w:w="1708" w:type="dxa"/>
            <w:shd w:val="clear" w:color="auto" w:fill="A6A6A6"/>
            <w:vAlign w:val="center"/>
          </w:tcPr>
          <w:p w14:paraId="6C11D5ED">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4267" w:type="dxa"/>
            <w:shd w:val="clear" w:color="auto" w:fill="A6A6A6"/>
            <w:vAlign w:val="center"/>
          </w:tcPr>
          <w:p w14:paraId="6ECB545B">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c>
          <w:tcPr>
            <w:tcW w:w="2198" w:type="dxa"/>
            <w:shd w:val="clear" w:color="auto" w:fill="A6A6A6"/>
            <w:vAlign w:val="center"/>
          </w:tcPr>
          <w:p w14:paraId="27F0C45C">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证明材料要求</w:t>
            </w:r>
          </w:p>
        </w:tc>
      </w:tr>
      <w:tr w14:paraId="7B6A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02" w:type="dxa"/>
            <w:vAlign w:val="center"/>
          </w:tcPr>
          <w:p w14:paraId="2E5FC157">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p>
        </w:tc>
        <w:tc>
          <w:tcPr>
            <w:tcW w:w="613" w:type="dxa"/>
            <w:vAlign w:val="center"/>
          </w:tcPr>
          <w:p w14:paraId="3F7F3818">
            <w:pPr>
              <w:jc w:val="center"/>
              <w:rPr>
                <w:rFonts w:hint="eastAsia" w:asciiTheme="minorEastAsia" w:hAnsiTheme="minorEastAsia" w:eastAsiaTheme="minorEastAsia" w:cstheme="minorEastAsia"/>
                <w:b/>
                <w:sz w:val="24"/>
                <w:szCs w:val="24"/>
                <w:highlight w:val="none"/>
              </w:rPr>
            </w:pPr>
          </w:p>
        </w:tc>
        <w:tc>
          <w:tcPr>
            <w:tcW w:w="1708" w:type="dxa"/>
            <w:vAlign w:val="center"/>
          </w:tcPr>
          <w:p w14:paraId="70FF1333">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链路要求</w:t>
            </w:r>
          </w:p>
        </w:tc>
        <w:tc>
          <w:tcPr>
            <w:tcW w:w="4267" w:type="dxa"/>
            <w:vAlign w:val="center"/>
          </w:tcPr>
          <w:p w14:paraId="6B96C83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光纤符合ITU-T G.652B标准的单模光纤，通过裸光纤到达</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人指定的机房位置，并与本地设备实现对接。</w:t>
            </w:r>
          </w:p>
        </w:tc>
        <w:tc>
          <w:tcPr>
            <w:tcW w:w="2198" w:type="dxa"/>
            <w:vMerge w:val="restart"/>
            <w:vAlign w:val="center"/>
          </w:tcPr>
          <w:p w14:paraId="7AA5F028">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提供承诺函并加盖投标人公章</w:t>
            </w:r>
          </w:p>
        </w:tc>
      </w:tr>
      <w:tr w14:paraId="05F2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2" w:type="dxa"/>
            <w:vAlign w:val="center"/>
          </w:tcPr>
          <w:p w14:paraId="4C00FA3B">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p>
        </w:tc>
        <w:tc>
          <w:tcPr>
            <w:tcW w:w="613" w:type="dxa"/>
            <w:vAlign w:val="center"/>
          </w:tcPr>
          <w:p w14:paraId="3D150962">
            <w:pPr>
              <w:jc w:val="center"/>
              <w:rPr>
                <w:rFonts w:hint="eastAsia" w:asciiTheme="minorEastAsia" w:hAnsiTheme="minorEastAsia" w:eastAsiaTheme="minorEastAsia" w:cstheme="minorEastAsia"/>
                <w:b/>
                <w:sz w:val="24"/>
                <w:szCs w:val="24"/>
                <w:highlight w:val="none"/>
              </w:rPr>
            </w:pPr>
          </w:p>
        </w:tc>
        <w:tc>
          <w:tcPr>
            <w:tcW w:w="1708" w:type="dxa"/>
            <w:vAlign w:val="center"/>
          </w:tcPr>
          <w:p w14:paraId="1BC8C1C3">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bCs/>
                <w:sz w:val="24"/>
                <w:szCs w:val="24"/>
                <w:highlight w:val="none"/>
              </w:rPr>
              <w:t>接口类型</w:t>
            </w:r>
          </w:p>
        </w:tc>
        <w:tc>
          <w:tcPr>
            <w:tcW w:w="4267" w:type="dxa"/>
            <w:vAlign w:val="center"/>
          </w:tcPr>
          <w:p w14:paraId="7149EADA">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lang w:bidi="en-US"/>
              </w:rPr>
              <w:t>提供千兆光口或千兆电口</w:t>
            </w:r>
          </w:p>
        </w:tc>
        <w:tc>
          <w:tcPr>
            <w:tcW w:w="2198" w:type="dxa"/>
            <w:vMerge w:val="continue"/>
            <w:vAlign w:val="center"/>
          </w:tcPr>
          <w:p w14:paraId="52F8F336">
            <w:pPr>
              <w:jc w:val="center"/>
              <w:rPr>
                <w:rFonts w:hint="eastAsia" w:asciiTheme="minorEastAsia" w:hAnsiTheme="minorEastAsia" w:eastAsiaTheme="minorEastAsia" w:cstheme="minorEastAsia"/>
                <w:sz w:val="24"/>
                <w:szCs w:val="24"/>
                <w:highlight w:val="none"/>
                <w:lang w:bidi="en-US"/>
              </w:rPr>
            </w:pPr>
          </w:p>
        </w:tc>
      </w:tr>
      <w:tr w14:paraId="5893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4EC0323">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w:t>
            </w:r>
          </w:p>
        </w:tc>
        <w:tc>
          <w:tcPr>
            <w:tcW w:w="613" w:type="dxa"/>
            <w:vAlign w:val="center"/>
          </w:tcPr>
          <w:p w14:paraId="180519B1">
            <w:pPr>
              <w:jc w:val="center"/>
              <w:rPr>
                <w:rFonts w:hint="eastAsia" w:asciiTheme="minorEastAsia" w:hAnsiTheme="minorEastAsia" w:eastAsiaTheme="minorEastAsia" w:cstheme="minorEastAsia"/>
                <w:sz w:val="24"/>
                <w:szCs w:val="24"/>
                <w:highlight w:val="none"/>
              </w:rPr>
            </w:pPr>
          </w:p>
        </w:tc>
        <w:tc>
          <w:tcPr>
            <w:tcW w:w="1708" w:type="dxa"/>
            <w:vAlign w:val="center"/>
          </w:tcPr>
          <w:p w14:paraId="4585A405">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独享要求</w:t>
            </w:r>
          </w:p>
        </w:tc>
        <w:tc>
          <w:tcPr>
            <w:tcW w:w="4267" w:type="dxa"/>
            <w:vAlign w:val="center"/>
          </w:tcPr>
          <w:p w14:paraId="4CDE8539">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采购人接入设备出口至中标人骨干节点设备间带宽独享</w:t>
            </w:r>
            <w:r>
              <w:rPr>
                <w:rFonts w:hint="eastAsia" w:asciiTheme="minorEastAsia" w:hAnsiTheme="minorEastAsia" w:eastAsiaTheme="minorEastAsia" w:cstheme="minorEastAsia"/>
                <w:sz w:val="24"/>
                <w:szCs w:val="24"/>
                <w:highlight w:val="none"/>
                <w:lang w:bidi="en-US"/>
              </w:rPr>
              <w:t>。</w:t>
            </w:r>
          </w:p>
        </w:tc>
        <w:tc>
          <w:tcPr>
            <w:tcW w:w="2198" w:type="dxa"/>
            <w:vMerge w:val="continue"/>
            <w:vAlign w:val="center"/>
          </w:tcPr>
          <w:p w14:paraId="759348C0">
            <w:pPr>
              <w:jc w:val="center"/>
              <w:rPr>
                <w:rFonts w:hint="eastAsia" w:asciiTheme="minorEastAsia" w:hAnsiTheme="minorEastAsia" w:eastAsiaTheme="minorEastAsia" w:cstheme="minorEastAsia"/>
                <w:sz w:val="24"/>
                <w:szCs w:val="24"/>
                <w:highlight w:val="none"/>
                <w:lang w:bidi="en-US"/>
              </w:rPr>
            </w:pPr>
          </w:p>
        </w:tc>
      </w:tr>
      <w:tr w14:paraId="494A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20D56AD">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w:t>
            </w:r>
          </w:p>
        </w:tc>
        <w:tc>
          <w:tcPr>
            <w:tcW w:w="613" w:type="dxa"/>
            <w:vAlign w:val="center"/>
          </w:tcPr>
          <w:p w14:paraId="50AF80EC">
            <w:pPr>
              <w:jc w:val="center"/>
              <w:rPr>
                <w:rFonts w:hint="eastAsia" w:asciiTheme="minorEastAsia" w:hAnsiTheme="minorEastAsia" w:eastAsiaTheme="minorEastAsia" w:cstheme="minorEastAsia"/>
                <w:sz w:val="24"/>
                <w:szCs w:val="24"/>
                <w:highlight w:val="none"/>
              </w:rPr>
            </w:pPr>
          </w:p>
        </w:tc>
        <w:tc>
          <w:tcPr>
            <w:tcW w:w="1708" w:type="dxa"/>
            <w:vAlign w:val="center"/>
          </w:tcPr>
          <w:p w14:paraId="1FBF39D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承诺可用率</w:t>
            </w:r>
          </w:p>
        </w:tc>
        <w:tc>
          <w:tcPr>
            <w:tcW w:w="4267" w:type="dxa"/>
            <w:vAlign w:val="center"/>
          </w:tcPr>
          <w:p w14:paraId="34E88EF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承诺互联网专线带宽可用率≥99.9%</w:t>
            </w:r>
          </w:p>
        </w:tc>
        <w:tc>
          <w:tcPr>
            <w:tcW w:w="2198" w:type="dxa"/>
            <w:vMerge w:val="continue"/>
            <w:vAlign w:val="center"/>
          </w:tcPr>
          <w:p w14:paraId="044A86F0">
            <w:pPr>
              <w:rPr>
                <w:rFonts w:hint="eastAsia" w:asciiTheme="minorEastAsia" w:hAnsiTheme="minorEastAsia" w:eastAsiaTheme="minorEastAsia" w:cstheme="minorEastAsia"/>
                <w:sz w:val="24"/>
                <w:szCs w:val="24"/>
                <w:highlight w:val="none"/>
                <w:lang w:bidi="en-US"/>
              </w:rPr>
            </w:pPr>
          </w:p>
        </w:tc>
      </w:tr>
      <w:tr w14:paraId="09CE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52292A1B">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w:t>
            </w:r>
          </w:p>
        </w:tc>
        <w:tc>
          <w:tcPr>
            <w:tcW w:w="613" w:type="dxa"/>
            <w:vAlign w:val="center"/>
          </w:tcPr>
          <w:p w14:paraId="48A6259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76DC341A">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平均时延要求</w:t>
            </w:r>
          </w:p>
        </w:tc>
        <w:tc>
          <w:tcPr>
            <w:tcW w:w="4267" w:type="dxa"/>
            <w:vAlign w:val="center"/>
          </w:tcPr>
          <w:p w14:paraId="39B6330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平均时延≤40ms</w:t>
            </w:r>
          </w:p>
        </w:tc>
        <w:tc>
          <w:tcPr>
            <w:tcW w:w="2198" w:type="dxa"/>
            <w:vMerge w:val="continue"/>
            <w:vAlign w:val="center"/>
          </w:tcPr>
          <w:p w14:paraId="6157384F">
            <w:pPr>
              <w:jc w:val="center"/>
              <w:rPr>
                <w:rFonts w:hint="eastAsia" w:asciiTheme="minorEastAsia" w:hAnsiTheme="minorEastAsia" w:eastAsiaTheme="minorEastAsia" w:cstheme="minorEastAsia"/>
                <w:sz w:val="24"/>
                <w:szCs w:val="24"/>
                <w:highlight w:val="none"/>
                <w:lang w:bidi="en-US"/>
              </w:rPr>
            </w:pPr>
          </w:p>
        </w:tc>
      </w:tr>
      <w:tr w14:paraId="5D37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252851CD">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w:t>
            </w:r>
          </w:p>
        </w:tc>
        <w:tc>
          <w:tcPr>
            <w:tcW w:w="613" w:type="dxa"/>
            <w:vAlign w:val="center"/>
          </w:tcPr>
          <w:p w14:paraId="1F89AB8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317F971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平均丢包率要求</w:t>
            </w:r>
          </w:p>
        </w:tc>
        <w:tc>
          <w:tcPr>
            <w:tcW w:w="4267" w:type="dxa"/>
            <w:vAlign w:val="center"/>
          </w:tcPr>
          <w:p w14:paraId="5FCD31C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平均丢包率：≤0.75%</w:t>
            </w:r>
          </w:p>
        </w:tc>
        <w:tc>
          <w:tcPr>
            <w:tcW w:w="2198" w:type="dxa"/>
            <w:vMerge w:val="continue"/>
            <w:vAlign w:val="center"/>
          </w:tcPr>
          <w:p w14:paraId="0E675CA9">
            <w:pPr>
              <w:jc w:val="center"/>
              <w:rPr>
                <w:rFonts w:hint="eastAsia" w:asciiTheme="minorEastAsia" w:hAnsiTheme="minorEastAsia" w:eastAsiaTheme="minorEastAsia" w:cstheme="minorEastAsia"/>
                <w:sz w:val="24"/>
                <w:szCs w:val="24"/>
                <w:highlight w:val="none"/>
                <w:lang w:bidi="en-US"/>
              </w:rPr>
            </w:pPr>
          </w:p>
        </w:tc>
      </w:tr>
      <w:tr w14:paraId="0A09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2C028C66">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w:t>
            </w:r>
          </w:p>
        </w:tc>
        <w:tc>
          <w:tcPr>
            <w:tcW w:w="613" w:type="dxa"/>
            <w:vAlign w:val="center"/>
          </w:tcPr>
          <w:p w14:paraId="541549C8">
            <w:pPr>
              <w:jc w:val="center"/>
              <w:rPr>
                <w:rFonts w:hint="eastAsia" w:asciiTheme="minorEastAsia" w:hAnsiTheme="minorEastAsia" w:eastAsiaTheme="minorEastAsia" w:cstheme="minorEastAsia"/>
                <w:sz w:val="24"/>
                <w:szCs w:val="24"/>
                <w:highlight w:val="none"/>
              </w:rPr>
            </w:pPr>
          </w:p>
        </w:tc>
        <w:tc>
          <w:tcPr>
            <w:tcW w:w="1708" w:type="dxa"/>
            <w:vAlign w:val="center"/>
          </w:tcPr>
          <w:p w14:paraId="36A05547">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网络建设要求</w:t>
            </w:r>
          </w:p>
        </w:tc>
        <w:tc>
          <w:tcPr>
            <w:tcW w:w="4267" w:type="dxa"/>
            <w:vAlign w:val="center"/>
          </w:tcPr>
          <w:p w14:paraId="1ACD6F14">
            <w:pPr>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本项目建设地点为</w:t>
            </w:r>
            <w:r>
              <w:rPr>
                <w:rFonts w:hint="eastAsia" w:asciiTheme="minorEastAsia" w:hAnsiTheme="minorEastAsia" w:eastAsiaTheme="minorEastAsia" w:cstheme="minorEastAsia"/>
                <w:bCs/>
                <w:sz w:val="24"/>
                <w:szCs w:val="24"/>
                <w:highlight w:val="none"/>
                <w:lang w:val="en-US" w:eastAsia="zh-CN"/>
              </w:rPr>
              <w:t>首都</w:t>
            </w:r>
            <w:r>
              <w:rPr>
                <w:rFonts w:hint="eastAsia" w:asciiTheme="minorEastAsia" w:hAnsiTheme="minorEastAsia" w:eastAsiaTheme="minorEastAsia" w:cstheme="minorEastAsia"/>
                <w:bCs/>
                <w:sz w:val="24"/>
                <w:szCs w:val="24"/>
                <w:highlight w:val="none"/>
                <w:lang w:eastAsia="zh-CN"/>
              </w:rPr>
              <w:t>图书馆</w:t>
            </w:r>
            <w:r>
              <w:rPr>
                <w:rFonts w:hint="eastAsia" w:asciiTheme="minorEastAsia" w:hAnsiTheme="minorEastAsia" w:eastAsiaTheme="minorEastAsia" w:cstheme="minorEastAsia"/>
                <w:bCs/>
                <w:sz w:val="24"/>
                <w:szCs w:val="24"/>
                <w:highlight w:val="none"/>
              </w:rPr>
              <w:t>，须提供相关的接入设备，并提供相关网络资源及服务人员配合</w:t>
            </w:r>
            <w:r>
              <w:rPr>
                <w:rFonts w:hint="eastAsia" w:asciiTheme="minorEastAsia" w:hAnsiTheme="minorEastAsia" w:eastAsiaTheme="minorEastAsia" w:cstheme="minorEastAsia"/>
                <w:bCs/>
                <w:sz w:val="24"/>
                <w:szCs w:val="24"/>
                <w:highlight w:val="none"/>
                <w:lang w:val="en-US" w:eastAsia="zh-CN"/>
              </w:rPr>
              <w:t>首都</w:t>
            </w:r>
            <w:r>
              <w:rPr>
                <w:rFonts w:hint="eastAsia" w:asciiTheme="minorEastAsia" w:hAnsiTheme="minorEastAsia" w:eastAsiaTheme="minorEastAsia" w:cstheme="minorEastAsia"/>
                <w:bCs/>
                <w:sz w:val="24"/>
                <w:szCs w:val="24"/>
                <w:highlight w:val="none"/>
                <w:lang w:eastAsia="zh-CN"/>
              </w:rPr>
              <w:t>图书馆</w:t>
            </w:r>
            <w:r>
              <w:rPr>
                <w:rFonts w:hint="eastAsia" w:asciiTheme="minorEastAsia" w:hAnsiTheme="minorEastAsia" w:eastAsiaTheme="minorEastAsia" w:cstheme="minorEastAsia"/>
                <w:bCs/>
                <w:sz w:val="24"/>
                <w:szCs w:val="24"/>
                <w:highlight w:val="none"/>
              </w:rPr>
              <w:t>完成网络架构调整。</w:t>
            </w:r>
          </w:p>
        </w:tc>
        <w:tc>
          <w:tcPr>
            <w:tcW w:w="2198" w:type="dxa"/>
            <w:vAlign w:val="center"/>
          </w:tcPr>
          <w:p w14:paraId="3B1B561D">
            <w:pPr>
              <w:jc w:val="center"/>
              <w:rPr>
                <w:rFonts w:hint="eastAsia" w:asciiTheme="minorEastAsia" w:hAnsiTheme="minorEastAsia" w:eastAsiaTheme="minorEastAsia" w:cstheme="minorEastAsia"/>
                <w:b/>
                <w:sz w:val="24"/>
                <w:szCs w:val="24"/>
                <w:highlight w:val="none"/>
              </w:rPr>
            </w:pPr>
          </w:p>
        </w:tc>
      </w:tr>
    </w:tbl>
    <w:p w14:paraId="71DCBD2C">
      <w:pPr>
        <w:rPr>
          <w:rFonts w:hint="eastAsia" w:asciiTheme="minorEastAsia" w:hAnsiTheme="minorEastAsia" w:eastAsiaTheme="minorEastAsia" w:cstheme="minorEastAsia"/>
          <w:sz w:val="24"/>
          <w:szCs w:val="24"/>
          <w:highlight w:val="none"/>
        </w:rPr>
      </w:pPr>
    </w:p>
    <w:p w14:paraId="7673E540">
      <w:pPr>
        <w:pStyle w:val="2"/>
        <w:rPr>
          <w:rFonts w:hint="eastAsia" w:asciiTheme="minorEastAsia" w:hAnsiTheme="minorEastAsia" w:eastAsiaTheme="minorEastAsia" w:cstheme="minorEastAsia"/>
          <w:sz w:val="24"/>
          <w:szCs w:val="24"/>
          <w:highlight w:val="none"/>
        </w:rPr>
      </w:pPr>
    </w:p>
    <w:p w14:paraId="102604CB">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2.链路要求 </w:t>
      </w:r>
    </w:p>
    <w:p w14:paraId="14A7E7F2">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确保为本项目提供的互联网专线服务具备资源可控性、高可用性与优质性能，对投标人网络基础资源及架构提出如下明确要求：</w:t>
      </w:r>
    </w:p>
    <w:p w14:paraId="7EDD24A9">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保证服务链路的稳定可靠与长期服务能力，避免因资源权属不清或多次转接引入的不确定性风险，投标人为本项目提供的端到端物理传输链路及最终互联网带宽出口，需为投标人自建、自有的核心网络资源，或在本项目</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指定的服务区域内已持有合法、有效且长期的管道（或光纤）租用协议。</w:t>
      </w:r>
    </w:p>
    <w:p w14:paraId="28D3B548">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（2）网络架构与性能要求</w:t>
      </w:r>
    </w:p>
    <w:p w14:paraId="55113A67">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为保证为本项目提供的网络服务具备高稳定性、低故障率与低延迟特性，投标人需确保其网络架构能够实现从采购人指定的出口设备接入点至其自有骨干网络节点的最短路径、最优路由接入。</w:t>
      </w:r>
    </w:p>
    <w:p w14:paraId="6DB18DC2">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3.周边资源覆盖要求</w:t>
      </w:r>
    </w:p>
    <w:p w14:paraId="308626AD">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为确保项目的服务响应效率、故障处理的及时性以及未来网络扩展的便利性，投标人必须具备在招标方所在区域及周边具备切实、可验证的网络资源覆盖与快速接入能力。</w:t>
      </w:r>
    </w:p>
    <w:p w14:paraId="0A7B1868">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4.海外资源访问要求</w:t>
      </w:r>
    </w:p>
    <w:p w14:paraId="7FD92273">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为保障采购人海外资源访问需求，要求投标人具备海外出口带宽。投标人</w:t>
      </w:r>
      <w:r>
        <w:rPr>
          <w:rFonts w:hint="eastAsia" w:asciiTheme="minorEastAsia" w:hAnsiTheme="minorEastAsia" w:eastAsiaTheme="minorEastAsia" w:cstheme="minorEastAsia"/>
          <w:sz w:val="24"/>
          <w:szCs w:val="24"/>
          <w:highlight w:val="none"/>
          <w:lang w:eastAsia="zh-CN"/>
        </w:rPr>
        <w:t>具备自有或租用的</w:t>
      </w:r>
      <w:r>
        <w:rPr>
          <w:rFonts w:hint="eastAsia" w:asciiTheme="minorEastAsia" w:hAnsiTheme="minorEastAsia" w:eastAsiaTheme="minorEastAsia" w:cstheme="minorEastAsia"/>
          <w:sz w:val="24"/>
          <w:szCs w:val="24"/>
          <w:highlight w:val="none"/>
        </w:rPr>
        <w:t>国际互联出口，且具备骨干网络国际出口带宽。</w:t>
      </w:r>
    </w:p>
    <w:p w14:paraId="1E39B6C4">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5.项目实施要求</w:t>
      </w:r>
    </w:p>
    <w:p w14:paraId="6AE9D5EC">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为保障项目的顺利实施与有效交付，投标人须针对本项目特点编制详细且具针对性的技术及服务实施方案。</w:t>
      </w:r>
    </w:p>
    <w:p w14:paraId="70191376">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项目实施方案，阐述为履行本项目合同而设立的项目组织管理体系，明确拟投入本项目的核心管理与技术人员名单，并清晰界定其在项目中的具体职责与分工。应提供详细的网络资源部署与线路实施方案，详细说明为满足本项目的具体带宽与性能需求，所规划的网络节点部署位置，清晰的开通线路路由设计图。提供完整的项目实施进度计划表，覆盖从合同生效至全部服务交付完成的全过程。</w:t>
      </w:r>
    </w:p>
    <w:p w14:paraId="1C3F091F">
      <w:p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（1）投标人应保证合同签订后3个工作日内（含3个工作日）完成专线开通。</w:t>
      </w:r>
    </w:p>
    <w:p w14:paraId="19E43F11">
      <w:p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实施过程控制：提供项目实施方案，说明如何利用人力及其它资源来承担其合同项下整体的项目顺利实施及按期交付。该方案应包括服务组织架构、人员组成及职责、服务商针对所需带宽的节点部署及线路情况，并提供详细的实施计划进度表，需标明完成合同所有关键活动的预计时间。</w:t>
      </w:r>
    </w:p>
    <w:p w14:paraId="2018FEAF">
      <w:pPr>
        <w:numPr>
          <w:ilvl w:val="0"/>
          <w:numId w:val="0"/>
        </w:num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（3）项目实施文档管理承诺：项目实施过程中所收集、产生的所有与本项目相关文档、资料， 包括文字、图片、表格、数字等各种形式所属权均归属采购人，投标人有义务对所涉及到的内容保密，应按照要求签署保密协议。投标人不得以任何形式向第三方透露本项目标书以及本项目的任何内容。</w:t>
      </w:r>
    </w:p>
    <w:p w14:paraId="54FA09A8">
      <w:pPr>
        <w:pStyle w:val="4"/>
        <w:numPr>
          <w:ilvl w:val="0"/>
          <w:numId w:val="2"/>
        </w:numPr>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系统割接</w:t>
      </w:r>
      <w:r>
        <w:rPr>
          <w:rFonts w:hint="eastAsia" w:asciiTheme="minorEastAsia" w:hAnsiTheme="minorEastAsia" w:eastAsiaTheme="minorEastAsia" w:cstheme="minorEastAsia"/>
          <w:sz w:val="24"/>
          <w:szCs w:val="24"/>
          <w:highlight w:val="none"/>
        </w:rPr>
        <w:t>要求</w:t>
      </w:r>
    </w:p>
    <w:p w14:paraId="267E3880">
      <w:pPr>
        <w:numPr>
          <w:ilvl w:val="0"/>
          <w:numId w:val="0"/>
        </w:num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投标人需全力配合采购人完成系统网络割接、网站备案等相关工作，全程提供专业技术支持，确保各项工作合规有序推进。</w:t>
      </w:r>
    </w:p>
    <w:p w14:paraId="376BAA88">
      <w:pPr>
        <w:numPr>
          <w:ilvl w:val="0"/>
          <w:numId w:val="0"/>
        </w:num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针对采购人现有网站及网络应用，在割接及后续运行过程中如需进行调整，投标人需制定科学合理的调整方案，保障系统平滑过渡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如在割接过程中与原服务商产生的费用由投标人自行承担</w:t>
      </w:r>
      <w:r>
        <w:rPr>
          <w:rFonts w:hint="eastAsia" w:asciiTheme="minorEastAsia" w:hAnsiTheme="minorEastAsia" w:eastAsiaTheme="minorEastAsia" w:cstheme="minorEastAsia"/>
          <w:sz w:val="24"/>
          <w:szCs w:val="24"/>
          <w:highlight w:val="none"/>
          <w:lang w:eastAsia="zh-CN"/>
        </w:rPr>
        <w:t>。</w:t>
      </w:r>
    </w:p>
    <w:p w14:paraId="45E758CF">
      <w:pPr>
        <w:numPr>
          <w:ilvl w:val="0"/>
          <w:numId w:val="0"/>
        </w:num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投标人需在投标文件中明确承诺满足上述割接配合及调整周期要求，中标后需严格按照承诺执行。</w:t>
      </w:r>
    </w:p>
    <w:p w14:paraId="7948BDC3">
      <w:pPr>
        <w:pStyle w:val="4"/>
        <w:numPr>
          <w:ilvl w:val="0"/>
          <w:numId w:val="2"/>
        </w:numPr>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项目团队</w:t>
      </w:r>
    </w:p>
    <w:p w14:paraId="1FF4B506">
      <w:p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投标人须为本项目配置经验丰富、专业能力突出的项目经理及不小于5人（含）的项目实施团队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lang w:eastAsia="zh-CN"/>
        </w:rPr>
        <w:t>有同时具备通信高级工程师认证和项目管理CSPM认证的</w:t>
      </w:r>
      <w:r>
        <w:rPr>
          <w:rFonts w:hint="eastAsia" w:asciiTheme="minorEastAsia" w:hAnsiTheme="minorEastAsia" w:eastAsiaTheme="minorEastAsia" w:cstheme="minorEastAsia"/>
          <w:sz w:val="24"/>
          <w:szCs w:val="24"/>
          <w:highlight w:val="none"/>
          <w:lang w:val="en-US" w:eastAsia="zh-CN"/>
        </w:rPr>
        <w:t>团队成员</w:t>
      </w:r>
      <w:r>
        <w:rPr>
          <w:rFonts w:hint="eastAsia" w:asciiTheme="minorEastAsia" w:hAnsiTheme="minorEastAsia" w:eastAsiaTheme="minorEastAsia" w:cstheme="minorEastAsia"/>
          <w:sz w:val="24"/>
          <w:szCs w:val="24"/>
          <w:highlight w:val="none"/>
        </w:rPr>
        <w:t>。项目经理应具备通信专业技术能力与成熟的项目管理经验，能够全面保障项目实施质量、进度与安全。项目实施团队成员也需具备相应的技术能力和项目经验。</w:t>
      </w:r>
    </w:p>
    <w:p w14:paraId="29268C8B">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.服务要求</w:t>
      </w:r>
    </w:p>
    <w:p w14:paraId="3E07B62D">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本项目服务交付后的长期稳定运行和持续满足采购需求，投标人须提交一份专门针对本项目的、详尽且具备可操作性的服务方案。方案需阐述为履行本项目保障而设立的服务团队组织架构、岗位职责、内部管理制度；明确具体的响应时间承诺、服务热线、远程及现场支持方式，详细列出提供的具体服务项目，在最短的时间内响应并解决业务运行过程中出现的故障，最大程度的降低网络故障各项业务产生的影响。要求</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方案内容紧密结合本项目的技术特点、服务范围及采购人的具体使用场景进行编制，体现个性化服务承诺。</w:t>
      </w:r>
    </w:p>
    <w:p w14:paraId="52C45B3D">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重大活动应急保障服务要求</w:t>
      </w:r>
    </w:p>
    <w:p w14:paraId="0AD40B8C">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为保障本项目服务在国家、地方或行业重大活动期间及突发事件中的稳定、可靠与安全运行，投标人须提交一份完整的重大活动应急保障方案。</w:t>
      </w:r>
    </w:p>
    <w:p w14:paraId="56B49F69">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明确针对重大活动及突发事件的应急指挥体系，并详细说明各岗位在应急状态下的职责、权限及协作机制。</w:t>
      </w:r>
    </w:p>
    <w:p w14:paraId="00792D64">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阐述在重大活动保障期前后及期间，为提升系统健壮性、防范风险所采取的具体技术与管理措施。</w:t>
      </w:r>
    </w:p>
    <w:p w14:paraId="4802C28B">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针对可能出现的不同等级、不同类型的突发事件，制定分级分类的响应策略。明确各类事件的判定标准、内部通报流程、决策机制及初步处置原则。</w:t>
      </w:r>
    </w:p>
    <w:p w14:paraId="154B226F">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制定专门针对本项目所涉网络的、具体且可操作的应急预案。</w:t>
      </w:r>
    </w:p>
    <w:p w14:paraId="070E6A71">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要求方案内容系统、具体，专门为本项目及重大活动保障场景量身定制，各项措施、策略和预案深度符合采购需求，贴近实际情况，具备很强的实战指导价值。</w:t>
      </w:r>
    </w:p>
    <w:p w14:paraId="0E0AF8E9">
      <w:pPr>
        <w:pStyle w:val="2"/>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SA"/>
        </w:rPr>
        <w:t>为全面证明投标人在重大活动应急保障领域的专业能力与实战经验。</w:t>
      </w:r>
    </w:p>
    <w:p w14:paraId="3F655C78">
      <w:pPr>
        <w:tabs>
          <w:tab w:val="left" w:pos="3787"/>
        </w:tabs>
        <w:bidi w:val="0"/>
        <w:jc w:val="left"/>
        <w:rPr>
          <w:highlight w:val="none"/>
          <w:lang w:val="en-US" w:eastAsia="zh-CN"/>
        </w:rPr>
        <w:sectPr>
          <w:pgSz w:w="11907" w:h="16840"/>
          <w:pgMar w:top="1418" w:right="1134" w:bottom="1418" w:left="1701" w:header="851" w:footer="851" w:gutter="0"/>
          <w:cols w:space="720" w:num="1"/>
          <w:docGrid w:linePitch="462" w:charSpace="0"/>
        </w:sectPr>
      </w:pPr>
    </w:p>
    <w:p w14:paraId="247CFBFB">
      <w:pPr>
        <w:spacing w:line="360" w:lineRule="auto"/>
        <w:jc w:val="center"/>
        <w:outlineLvl w:val="1"/>
        <w:rPr>
          <w:rFonts w:hint="eastAsia"/>
          <w:b/>
          <w:bCs w:val="0"/>
          <w:sz w:val="24"/>
          <w:szCs w:val="24"/>
          <w:highlight w:val="none"/>
          <w:lang w:val="en-US" w:eastAsia="zh-CN"/>
        </w:rPr>
      </w:pPr>
      <w:bookmarkStart w:id="16" w:name="_Toc16873"/>
      <w:bookmarkStart w:id="17" w:name="_Toc8096"/>
      <w:bookmarkStart w:id="18" w:name="_Toc26347"/>
      <w:r>
        <w:rPr>
          <w:rFonts w:hint="eastAsia"/>
          <w:b/>
          <w:bCs w:val="0"/>
          <w:sz w:val="24"/>
          <w:szCs w:val="24"/>
          <w:highlight w:val="none"/>
        </w:rPr>
        <w:t>首都图书馆2026年互联网专线接入费及政务云服务采购项目</w:t>
      </w:r>
      <w:r>
        <w:rPr>
          <w:rFonts w:hint="eastAsia"/>
          <w:b/>
          <w:bCs w:val="0"/>
          <w:sz w:val="24"/>
          <w:szCs w:val="24"/>
          <w:highlight w:val="none"/>
          <w:lang w:val="en-US" w:eastAsia="zh-CN"/>
        </w:rPr>
        <w:t>第五包首图主线2</w:t>
      </w:r>
      <w:bookmarkEnd w:id="16"/>
      <w:bookmarkEnd w:id="17"/>
      <w:bookmarkEnd w:id="18"/>
    </w:p>
    <w:p w14:paraId="677FB487">
      <w:pPr>
        <w:bidi w:val="0"/>
        <w:rPr>
          <w:rFonts w:ascii="Times New Roman" w:hAnsi="Times New Roman" w:eastAsia="宋体" w:cs="Times New Roman"/>
          <w:kern w:val="2"/>
          <w:sz w:val="21"/>
          <w:szCs w:val="24"/>
          <w:highlight w:val="none"/>
          <w:lang w:val="en-US" w:eastAsia="zh-CN" w:bidi="ar-SA"/>
        </w:rPr>
      </w:pPr>
    </w:p>
    <w:p w14:paraId="4225A2BA">
      <w:pPr>
        <w:keepNext/>
        <w:keepLines/>
        <w:widowControl w:val="0"/>
        <w:numPr>
          <w:ilvl w:val="0"/>
          <w:numId w:val="0"/>
        </w:numPr>
        <w:autoSpaceDE/>
        <w:autoSpaceDN/>
        <w:adjustRightInd w:val="0"/>
        <w:snapToGrid w:val="0"/>
        <w:spacing w:before="260" w:after="260" w:line="240" w:lineRule="auto"/>
        <w:ind w:leftChars="0"/>
        <w:jc w:val="left"/>
        <w:textAlignment w:val="baseline"/>
        <w:outlineLvl w:val="1"/>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一、采购标的</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2"/>
        <w:gridCol w:w="1829"/>
        <w:gridCol w:w="1114"/>
        <w:gridCol w:w="1243"/>
        <w:gridCol w:w="1288"/>
      </w:tblGrid>
      <w:tr w14:paraId="4756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2" w:type="dxa"/>
            <w:vAlign w:val="center"/>
          </w:tcPr>
          <w:p w14:paraId="3D57F319">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bCs/>
                <w:szCs w:val="21"/>
                <w:highlight w:val="none"/>
              </w:rPr>
              <w:t>标的名称</w:t>
            </w:r>
          </w:p>
        </w:tc>
        <w:tc>
          <w:tcPr>
            <w:tcW w:w="1829" w:type="dxa"/>
            <w:vAlign w:val="center"/>
          </w:tcPr>
          <w:p w14:paraId="6B23D3D9">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货物或服务名称</w:t>
            </w:r>
          </w:p>
        </w:tc>
        <w:tc>
          <w:tcPr>
            <w:tcW w:w="1114" w:type="dxa"/>
            <w:vAlign w:val="center"/>
          </w:tcPr>
          <w:p w14:paraId="55AD9B0F">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数量</w:t>
            </w:r>
          </w:p>
        </w:tc>
        <w:tc>
          <w:tcPr>
            <w:tcW w:w="1243" w:type="dxa"/>
            <w:vAlign w:val="center"/>
          </w:tcPr>
          <w:p w14:paraId="550C46E1">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单位</w:t>
            </w:r>
          </w:p>
        </w:tc>
        <w:tc>
          <w:tcPr>
            <w:tcW w:w="1288" w:type="dxa"/>
            <w:vAlign w:val="center"/>
          </w:tcPr>
          <w:p w14:paraId="5DB6295E">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备注：（采购资金）</w:t>
            </w:r>
          </w:p>
          <w:p w14:paraId="7BFFA5B2">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单位：万元</w:t>
            </w:r>
          </w:p>
        </w:tc>
      </w:tr>
      <w:tr w14:paraId="005A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2" w:type="dxa"/>
            <w:vAlign w:val="center"/>
          </w:tcPr>
          <w:p w14:paraId="58BF5046">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bCs/>
                <w:szCs w:val="21"/>
                <w:highlight w:val="none"/>
              </w:rPr>
              <w:t>首都图书馆2026年互联网专线接入费及政务云服务采购项目</w:t>
            </w:r>
            <w:r>
              <w:rPr>
                <w:rFonts w:hint="eastAsia"/>
                <w:bCs/>
                <w:szCs w:val="21"/>
                <w:highlight w:val="none"/>
                <w:lang w:val="en-US" w:eastAsia="zh-CN"/>
              </w:rPr>
              <w:t>第五包首图主线2</w:t>
            </w:r>
          </w:p>
        </w:tc>
        <w:tc>
          <w:tcPr>
            <w:tcW w:w="1829" w:type="dxa"/>
          </w:tcPr>
          <w:p w14:paraId="32B8445D">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租用500Mbps互联网专线</w:t>
            </w:r>
          </w:p>
        </w:tc>
        <w:tc>
          <w:tcPr>
            <w:tcW w:w="1114" w:type="dxa"/>
          </w:tcPr>
          <w:p w14:paraId="6219C8D5">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w:t>
            </w:r>
          </w:p>
        </w:tc>
        <w:tc>
          <w:tcPr>
            <w:tcW w:w="1243" w:type="dxa"/>
          </w:tcPr>
          <w:p w14:paraId="3F560915">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条</w:t>
            </w:r>
          </w:p>
        </w:tc>
        <w:tc>
          <w:tcPr>
            <w:tcW w:w="1288" w:type="dxa"/>
          </w:tcPr>
          <w:p w14:paraId="7A753A6A">
            <w:pPr>
              <w:widowControl w:val="0"/>
              <w:adjustRightInd w:val="0"/>
              <w:snapToGrid w:val="0"/>
              <w:spacing w:before="120" w:line="24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67.609</w:t>
            </w:r>
          </w:p>
        </w:tc>
      </w:tr>
    </w:tbl>
    <w:p w14:paraId="59935EEE">
      <w:pPr>
        <w:spacing w:before="120" w:after="120" w:line="360" w:lineRule="auto"/>
        <w:ind w:left="0" w:firstLine="42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为保障首都图书馆B座读者服务、电子阅览和数字资源访问，采购1条500M互联网专线。</w:t>
      </w:r>
    </w:p>
    <w:p w14:paraId="1C6C0C64">
      <w:pPr>
        <w:pStyle w:val="3"/>
        <w:bidi w:val="0"/>
        <w:spacing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二、商务要求</w:t>
      </w:r>
    </w:p>
    <w:p w14:paraId="3E8518F8">
      <w:pPr>
        <w:numPr>
          <w:ilvl w:val="0"/>
          <w:numId w:val="0"/>
        </w:numPr>
        <w:spacing w:before="120" w:after="120"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 投标人应具</w:t>
      </w:r>
      <w:r>
        <w:rPr>
          <w:rFonts w:hint="eastAsia" w:asciiTheme="minorEastAsia" w:hAnsiTheme="minorEastAsia" w:eastAsiaTheme="minorEastAsia" w:cstheme="minorEastAsia"/>
          <w:sz w:val="24"/>
          <w:szCs w:val="24"/>
          <w:highlight w:val="none"/>
        </w:rPr>
        <w:t>500M互联网专线</w:t>
      </w:r>
      <w:r>
        <w:rPr>
          <w:rFonts w:hint="eastAsia" w:asciiTheme="minorEastAsia" w:hAnsiTheme="minorEastAsia" w:eastAsiaTheme="minorEastAsia" w:cstheme="minorEastAsia"/>
          <w:sz w:val="24"/>
          <w:szCs w:val="24"/>
          <w:highlight w:val="none"/>
          <w:lang w:val="en-US" w:eastAsia="zh-CN"/>
        </w:rPr>
        <w:t>接入的能力资质</w:t>
      </w:r>
      <w:r>
        <w:rPr>
          <w:rFonts w:hint="eastAsia" w:asciiTheme="minorEastAsia" w:hAnsiTheme="minorEastAsia" w:eastAsiaTheme="minorEastAsia" w:cstheme="minorEastAsia"/>
          <w:sz w:val="24"/>
          <w:highlight w:val="none"/>
        </w:rPr>
        <w:t>（电信业务经营许可证）</w:t>
      </w:r>
      <w:r>
        <w:rPr>
          <w:rFonts w:hint="eastAsia" w:asciiTheme="minorEastAsia" w:hAnsiTheme="minorEastAsia" w:eastAsiaTheme="minorEastAsia" w:cstheme="minorEastAsia"/>
          <w:sz w:val="24"/>
          <w:szCs w:val="24"/>
          <w:highlight w:val="none"/>
          <w:lang w:val="en-US" w:eastAsia="zh-CN"/>
        </w:rPr>
        <w:t>。</w:t>
      </w:r>
    </w:p>
    <w:p w14:paraId="1CA962C0">
      <w:pPr>
        <w:numPr>
          <w:ilvl w:val="0"/>
          <w:numId w:val="0"/>
        </w:numPr>
        <w:spacing w:before="120" w:after="120" w:line="360" w:lineRule="auto"/>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投标人应具有本项目相关的经验，并有成功案例；具备丰富的项目管理经验和团队协作能力，能有效组织和管理项目团队，可提供项目合同、验收报告等相关证明材料；具备与图书馆类项目类似的项目经验，能提供相关图书馆的项目案例和经验总结。案例时间以合同签订时间为准。</w:t>
      </w:r>
    </w:p>
    <w:p w14:paraId="759A5247">
      <w:pPr>
        <w:pStyle w:val="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3.交货时间：应保证合同签订后3-5个工作日（含5个工作日）完成专线开通及测试。</w:t>
      </w:r>
    </w:p>
    <w:p w14:paraId="6B318E12">
      <w:pPr>
        <w:pStyle w:val="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4.服务期： 17个月</w:t>
      </w:r>
    </w:p>
    <w:p w14:paraId="11316821">
      <w:pPr>
        <w:pStyle w:val="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5.服务地点：首都图书馆（北京市朝阳区东三环南路88号）。</w:t>
      </w:r>
    </w:p>
    <w:p w14:paraId="69EB6152">
      <w:pPr>
        <w:pStyle w:val="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6.支付条件及进度要求：采购人应在本项目签订合同后且本项目财政资金到账后7个工作日内采购人向中标人支付合同总价 60 %；中标人完成本合同项下的服务，向采购人交付服务成果，经采购人验收合格，运行一个月后无故障，且本项目财政资金到账后一次性付清支付合同结算总价余款。</w:t>
      </w:r>
    </w:p>
    <w:p w14:paraId="64B9C5B0">
      <w:pPr>
        <w:spacing w:before="320" w:after="120" w:line="240" w:lineRule="auto"/>
        <w:ind w:left="0"/>
        <w:jc w:val="left"/>
        <w:outlineLvl w:val="1"/>
        <w:rPr>
          <w:rStyle w:val="13"/>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三、技术要</w:t>
      </w:r>
      <w:r>
        <w:rPr>
          <w:rStyle w:val="13"/>
          <w:rFonts w:hint="eastAsia" w:asciiTheme="minorEastAsia" w:hAnsiTheme="minorEastAsia" w:eastAsiaTheme="minorEastAsia" w:cstheme="minorEastAsia"/>
          <w:sz w:val="24"/>
          <w:szCs w:val="24"/>
          <w:highlight w:val="none"/>
        </w:rPr>
        <w:t>求</w:t>
      </w:r>
    </w:p>
    <w:p w14:paraId="7E70DDBC">
      <w:pPr>
        <w:bidi w:val="0"/>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（一）通用技术指标要求</w:t>
      </w:r>
    </w:p>
    <w:p w14:paraId="4235BA90">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 接口类型：千兆光口或千兆电口；</w:t>
      </w:r>
    </w:p>
    <w:p w14:paraId="3643BB43">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物理链路：光纤符合ITU-T G.652B标准的单模光纤，通过裸光纤到达招标人指定的机房位置，并与本地设备实现对接；</w:t>
      </w:r>
    </w:p>
    <w:p w14:paraId="1FD50083">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 丢包率（Frame Loss）：≤0.1%（承诺带宽内）；</w:t>
      </w:r>
    </w:p>
    <w:p w14:paraId="4806880B">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 承诺可用率：≥99.9%；</w:t>
      </w:r>
    </w:p>
    <w:p w14:paraId="332395EA">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 时延：≤40ms（至网内热点网站的Ping网络时延）；</w:t>
      </w:r>
    </w:p>
    <w:p w14:paraId="15684CAA">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6.带宽独享：采购人接入设备出口至投标人骨干节点设备间带宽独享；</w:t>
      </w:r>
    </w:p>
    <w:p w14:paraId="2DFC72A3">
      <w:pPr>
        <w:pStyle w:val="2"/>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（二）关键技术指标要求</w:t>
      </w:r>
    </w:p>
    <w:p w14:paraId="48C89871">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1.可以提供互联网专线每月带宽和流量的使用情况，并提供系统分析的流量及带宽使用情况的截图。</w:t>
      </w:r>
    </w:p>
    <w:p w14:paraId="3713D06A">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2.采购人使用端到投标人骨干网络局所光路跳接点≤3跳，并提供网络框架图和高德/百度地图上对应局所的位置截图；</w:t>
      </w:r>
    </w:p>
    <w:p w14:paraId="3FADFFAA">
      <w:pPr>
        <w:numPr>
          <w:ilvl w:val="0"/>
          <w:numId w:val="4"/>
        </w:numPr>
        <w:bidi w:val="0"/>
        <w:spacing w:line="360" w:lineRule="auto"/>
        <w:ind w:left="840" w:leftChars="0" w:hanging="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3.为保障采购人海外资源访问需求，要求中标人承诺具备海外出口带宽。国际互联出口：具备自有或租用的国际互联出口，且骨干网络国际出口带宽不少于1Tbps。</w:t>
      </w:r>
    </w:p>
    <w:p w14:paraId="4DFE8B68">
      <w:pPr>
        <w:pStyle w:val="2"/>
        <w:rPr>
          <w:rFonts w:hint="eastAsia" w:asciiTheme="minorEastAsia" w:hAnsiTheme="minorEastAsia" w:eastAsiaTheme="minorEastAsia" w:cstheme="minorEastAsia"/>
          <w:sz w:val="24"/>
          <w:szCs w:val="24"/>
          <w:highlight w:val="none"/>
          <w:lang w:val="en-US" w:eastAsia="zh-CN"/>
        </w:rPr>
      </w:pPr>
    </w:p>
    <w:p w14:paraId="251E4887">
      <w:pPr>
        <w:numPr>
          <w:ilvl w:val="0"/>
          <w:numId w:val="0"/>
        </w:numPr>
        <w:bidi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（三）技术方案要求</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lang w:val="en-US" w:eastAsia="zh-CN"/>
        </w:rPr>
        <w:t>投标人应提供项目理解与重难点分析，包括项目工作量、服务内容重难点等。首先明确</w:t>
      </w:r>
      <w:r>
        <w:rPr>
          <w:rFonts w:hint="eastAsia" w:asciiTheme="minorEastAsia" w:hAnsiTheme="minorEastAsia" w:eastAsiaTheme="minorEastAsia" w:cstheme="minorEastAsia"/>
          <w:sz w:val="24"/>
          <w:szCs w:val="24"/>
          <w:highlight w:val="none"/>
        </w:rPr>
        <w:t>首都图书馆B座读者服务、电子阅览和数字资源访问</w:t>
      </w:r>
      <w:r>
        <w:rPr>
          <w:rFonts w:hint="eastAsia" w:asciiTheme="minorEastAsia" w:hAnsiTheme="minorEastAsia" w:eastAsiaTheme="minorEastAsia" w:cstheme="minorEastAsia"/>
          <w:sz w:val="24"/>
          <w:szCs w:val="24"/>
          <w:highlight w:val="none"/>
          <w:lang w:val="en-US" w:eastAsia="zh-CN"/>
        </w:rPr>
        <w:t>链路项目的目标和范围，确定项目旨在实现的具体成果和交付物说明项目的各个阶段，包括需求分析、设计、开发、测试、部署和维护等，确定每个阶段所需的人力、时间和技术投入。分析项目中可能存在的光纤和管道风险和不确定性因素，这些因素可能会增加项目的工作量和难度。针对于复杂的链路问题、确保专线系统的稳定性和性能、满足用户的特定需求、与其他网络设备系统的集成等，分析服务内容中的关键环节和风险点，制定相应的应对措施和解决方案。</w:t>
      </w:r>
    </w:p>
    <w:p w14:paraId="344D2DDD">
      <w:pPr>
        <w:numPr>
          <w:ilvl w:val="0"/>
          <w:numId w:val="0"/>
        </w:numPr>
        <w:bidi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实施要求</w:t>
      </w:r>
    </w:p>
    <w:p w14:paraId="26D93FA5">
      <w:pPr>
        <w:numPr>
          <w:ilvl w:val="0"/>
          <w:numId w:val="5"/>
        </w:numPr>
        <w:bidi w:val="0"/>
        <w:spacing w:line="360" w:lineRule="auto"/>
        <w:ind w:left="420" w:left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团队成员要求：投标人项目团队人数应不少于3人（含），其中项目经理需具有5年及以上相关项目经验；项目团队成员应具备高级工程师证书、项目管理CSPM认证证书。</w:t>
      </w:r>
    </w:p>
    <w:p w14:paraId="2688DA7A">
      <w:pPr>
        <w:numPr>
          <w:ilvl w:val="0"/>
          <w:numId w:val="5"/>
        </w:numPr>
        <w:bidi w:val="0"/>
        <w:spacing w:line="360" w:lineRule="auto"/>
        <w:ind w:left="420" w:left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项目交付时间要求：投标人应对专线开通时间做出承诺，最多不得超过合同签订后5个工作日。</w:t>
      </w:r>
    </w:p>
    <w:p w14:paraId="40911BB4">
      <w:pPr>
        <w:numPr>
          <w:ilvl w:val="0"/>
          <w:numId w:val="5"/>
        </w:numPr>
        <w:bidi w:val="0"/>
        <w:spacing w:line="360" w:lineRule="auto"/>
        <w:ind w:left="420" w:left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实施方案过程控制要求：提供项目实施方案，说明如何利用人力及其它资源来承担其合同项下整体的管理和协调责任。该计划应包括服务组织架构、人员组成及职责、服务商针对所需带宽的节点部署及详细路由情况。投标人应提供详细的项目进度计划，包括各阶段时间节点、进度保障措施等。细化项目不同阶段，为每个阶段确定明确的开始时间和结束时间，并设置关键里程碑。制定详细的项目进度计划，包括每个阶段的具体任务、负责人和时间安排。建立有效的项目管理机制，包括项目团队的组织架构、沟通机制和决策流程等。对可能影响项目进度的风险进行评估和分析，制定相应的风险应对措施。</w:t>
      </w:r>
    </w:p>
    <w:p w14:paraId="2B090D16">
      <w:pPr>
        <w:bidi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b/>
          <w:bCs/>
          <w:sz w:val="24"/>
          <w:szCs w:val="24"/>
          <w:highlight w:val="none"/>
          <w:lang w:val="en-US" w:eastAsia="zh-CN"/>
        </w:rPr>
        <w:t>服务要求</w:t>
      </w:r>
    </w:p>
    <w:p w14:paraId="11B9E97B">
      <w:pPr>
        <w:bidi w:val="0"/>
        <w:spacing w:line="360" w:lineRule="auto"/>
        <w:ind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 运维服务要求：投标人需提供以专线接入点为标地的局所范围覆盖情况说明，提供专线链路的日常维护工作。投标人应提供详细的运维服务方案，包括服务组织、服务响应时间与流程、服务管理制度等。并提供电路落地端业务和技术保障联系人员名单，名单人员应相对保持稳定，发生变更时及时告知采购单位。在采购单位指定位置，投标人应提供线路网管，可实现采购单位对电路通断、带宽占用、故障警告、故障记录、质量监控等功能。投标人应对项目服务过程中所收集、产生的所有与本项目相关文档、资料， 包括文字、图片、表格、数字等进行管理，并在项目结束一并提交给采购人。</w:t>
      </w:r>
    </w:p>
    <w:p w14:paraId="5C1A6DD6">
      <w:pPr>
        <w:bidi w:val="0"/>
        <w:spacing w:line="360" w:lineRule="auto"/>
        <w:ind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应急响应服务要求：</w:t>
      </w:r>
    </w:p>
    <w:p w14:paraId="7CEA99F3">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投标人应对以下内容进行承诺：</w:t>
      </w:r>
    </w:p>
    <w:p w14:paraId="57267E0D">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（1）投标人需提供7×24故障受理电话；</w:t>
      </w:r>
    </w:p>
    <w:p w14:paraId="307CDE50">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（2）投标人在接到招标人故障申告后，15分钟之内进行响应。</w:t>
      </w:r>
    </w:p>
    <w:p w14:paraId="757EC674">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（3）投标人在2小时之内恢复业务，并及时向招标人通告故障处理进展情况；</w:t>
      </w:r>
    </w:p>
    <w:p w14:paraId="039E60FE">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（4）投标人在故障处理完毕3个工作日内，需向申告人递交详细的故障处理报告；</w:t>
      </w:r>
    </w:p>
    <w:p w14:paraId="1CE87A39">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（5）投标人设专人负责处理故障、进行售后服务工作，协助招标人相关管理人员排查可能因电路质量或故障造成的网络故障；</w:t>
      </w:r>
    </w:p>
    <w:p w14:paraId="55F8E8E4">
      <w:pPr>
        <w:bidi w:val="0"/>
        <w:spacing w:line="360" w:lineRule="auto"/>
        <w:ind w:left="42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（6）投标人需提供电话和现场的技术支撑；</w:t>
      </w:r>
    </w:p>
    <w:p w14:paraId="5A4F89CD">
      <w:pPr>
        <w:numPr>
          <w:ilvl w:val="-1"/>
          <w:numId w:val="0"/>
        </w:numPr>
        <w:bidi w:val="0"/>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 重大活动保障要求：投标人应为用户成立项目专门的重大活动保障团队，明确团队成员的职责和分工。保障团队应包括技术专家、项目经理、运维人员等，确保在重大活动期间能够提供全方位的服务支持。</w:t>
      </w:r>
    </w:p>
    <w:p w14:paraId="7454CA92">
      <w:pPr>
        <w:tabs>
          <w:tab w:val="left" w:pos="2987"/>
        </w:tabs>
        <w:bidi w:val="0"/>
        <w:jc w:val="left"/>
        <w:rPr>
          <w:highlight w:val="none"/>
          <w:lang w:val="en-US" w:eastAsia="zh-CN"/>
        </w:rPr>
      </w:pPr>
    </w:p>
    <w:p w14:paraId="4069323F">
      <w:pPr>
        <w:spacing w:line="360" w:lineRule="auto"/>
        <w:ind w:left="0" w:firstLine="420"/>
        <w:rPr>
          <w:rFonts w:hint="eastAsia" w:asciiTheme="minorEastAsia" w:hAnsiTheme="minorEastAsia" w:eastAsiaTheme="minorEastAsia" w:cstheme="minorEastAsia"/>
          <w:sz w:val="24"/>
          <w:highlight w:val="none"/>
          <w:lang w:val="en-US" w:eastAsia="zh-CN"/>
        </w:rPr>
        <w:sectPr>
          <w:pgSz w:w="11907" w:h="16840"/>
          <w:pgMar w:top="1418" w:right="1134" w:bottom="1418" w:left="1701" w:header="851" w:footer="851" w:gutter="0"/>
          <w:cols w:space="720" w:num="1"/>
          <w:docGrid w:linePitch="462" w:charSpace="0"/>
        </w:sectPr>
      </w:pPr>
      <w:r>
        <w:rPr>
          <w:rFonts w:hint="eastAsia" w:asciiTheme="minorEastAsia" w:hAnsiTheme="minorEastAsia" w:eastAsiaTheme="minorEastAsia" w:cstheme="minorEastAsia"/>
          <w:sz w:val="24"/>
          <w:highlight w:val="none"/>
          <w:lang w:val="en-US" w:eastAsia="zh-CN"/>
        </w:rPr>
        <w:t>4.重大故障断网累计时间要求：投标人在项目服务周期内出现的重大故障断网累计时间不得超过48小时。</w:t>
      </w:r>
    </w:p>
    <w:p w14:paraId="50923D28">
      <w:pPr>
        <w:spacing w:line="360" w:lineRule="auto"/>
        <w:jc w:val="center"/>
        <w:outlineLvl w:val="1"/>
        <w:rPr>
          <w:highlight w:val="none"/>
          <w:lang w:val="en-US" w:eastAsia="zh-CN"/>
        </w:rPr>
      </w:pPr>
      <w:bookmarkStart w:id="19" w:name="_Toc21400"/>
      <w:bookmarkStart w:id="20" w:name="_Toc6498"/>
      <w:bookmarkStart w:id="21" w:name="_Toc30260"/>
      <w:r>
        <w:rPr>
          <w:rFonts w:hint="eastAsia"/>
          <w:b/>
          <w:bCs w:val="0"/>
          <w:sz w:val="24"/>
          <w:szCs w:val="24"/>
          <w:highlight w:val="none"/>
        </w:rPr>
        <w:t>首都图书馆2026年互联网专线接入费及政务云服务采购项目</w:t>
      </w:r>
      <w:r>
        <w:rPr>
          <w:rFonts w:hint="eastAsia"/>
          <w:b/>
          <w:bCs w:val="0"/>
          <w:sz w:val="24"/>
          <w:szCs w:val="24"/>
          <w:highlight w:val="none"/>
          <w:lang w:val="en-US" w:eastAsia="zh-CN"/>
        </w:rPr>
        <w:t>第六包首图主线3</w:t>
      </w:r>
      <w:bookmarkEnd w:id="19"/>
      <w:bookmarkEnd w:id="20"/>
      <w:bookmarkEnd w:id="21"/>
    </w:p>
    <w:p w14:paraId="55CD102D">
      <w:pPr>
        <w:pStyle w:val="3"/>
        <w:numPr>
          <w:ilvl w:val="0"/>
          <w:numId w:val="0"/>
        </w:numPr>
        <w:autoSpaceDE/>
        <w:autoSpaceDN/>
        <w:snapToGrid w:val="0"/>
        <w:spacing w:before="260" w:after="260" w:line="560" w:lineRule="exact"/>
        <w:ind w:leftChars="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采购标的</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4"/>
        <w:gridCol w:w="1857"/>
        <w:gridCol w:w="1171"/>
        <w:gridCol w:w="1272"/>
        <w:gridCol w:w="1402"/>
      </w:tblGrid>
      <w:tr w14:paraId="2DD2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0E9884BA">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bCs/>
                <w:szCs w:val="21"/>
                <w:highlight w:val="none"/>
              </w:rPr>
              <w:t>标的名称</w:t>
            </w:r>
          </w:p>
        </w:tc>
        <w:tc>
          <w:tcPr>
            <w:tcW w:w="1857" w:type="dxa"/>
            <w:vAlign w:val="center"/>
          </w:tcPr>
          <w:p w14:paraId="28C5F2F4">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货物或服务名称</w:t>
            </w:r>
          </w:p>
        </w:tc>
        <w:tc>
          <w:tcPr>
            <w:tcW w:w="1171" w:type="dxa"/>
            <w:vAlign w:val="center"/>
          </w:tcPr>
          <w:p w14:paraId="1343B77C">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272" w:type="dxa"/>
            <w:vAlign w:val="center"/>
          </w:tcPr>
          <w:p w14:paraId="4900DD40">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1402" w:type="dxa"/>
            <w:vAlign w:val="center"/>
          </w:tcPr>
          <w:p w14:paraId="6818F42A">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备注：（采购资金）</w:t>
            </w:r>
          </w:p>
          <w:p w14:paraId="2E8297D9">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单位：万元</w:t>
            </w:r>
          </w:p>
        </w:tc>
      </w:tr>
      <w:tr w14:paraId="058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15A37781">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bCs/>
                <w:szCs w:val="21"/>
                <w:highlight w:val="none"/>
              </w:rPr>
              <w:t>首都图书馆2026年互联网专线接入费及政务云服务采购项目</w:t>
            </w:r>
            <w:r>
              <w:rPr>
                <w:rFonts w:hint="eastAsia"/>
                <w:bCs/>
                <w:szCs w:val="21"/>
                <w:highlight w:val="none"/>
                <w:lang w:val="en-US" w:eastAsia="zh-CN"/>
              </w:rPr>
              <w:t>第六包首图主线3</w:t>
            </w:r>
          </w:p>
        </w:tc>
        <w:tc>
          <w:tcPr>
            <w:tcW w:w="1857" w:type="dxa"/>
          </w:tcPr>
          <w:p w14:paraId="628062A7">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租用</w:t>
            </w:r>
            <w:r>
              <w:rPr>
                <w:rFonts w:hint="eastAsia" w:asciiTheme="minorEastAsia" w:hAnsiTheme="minorEastAsia" w:eastAsiaTheme="minorEastAsia" w:cstheme="minorEastAsia"/>
                <w:sz w:val="24"/>
                <w:szCs w:val="24"/>
                <w:highlight w:val="none"/>
                <w:lang w:val="en-US" w:eastAsia="zh-CN"/>
              </w:rPr>
              <w:t>700</w:t>
            </w:r>
            <w:r>
              <w:rPr>
                <w:rFonts w:hint="eastAsia" w:asciiTheme="minorEastAsia" w:hAnsiTheme="minorEastAsia" w:eastAsiaTheme="minorEastAsia" w:cstheme="minorEastAsia"/>
                <w:sz w:val="24"/>
                <w:szCs w:val="24"/>
                <w:highlight w:val="none"/>
              </w:rPr>
              <w:t>Mbps互联网专线</w:t>
            </w:r>
          </w:p>
        </w:tc>
        <w:tc>
          <w:tcPr>
            <w:tcW w:w="1171" w:type="dxa"/>
          </w:tcPr>
          <w:p w14:paraId="0CC9CD9B">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272" w:type="dxa"/>
          </w:tcPr>
          <w:p w14:paraId="1BA770D9">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w:t>
            </w:r>
          </w:p>
        </w:tc>
        <w:tc>
          <w:tcPr>
            <w:tcW w:w="1402" w:type="dxa"/>
          </w:tcPr>
          <w:p w14:paraId="75901C52">
            <w:pPr>
              <w:pStyle w:val="2"/>
              <w:adjustRightInd w:val="0"/>
              <w:snapToGrid w:val="0"/>
              <w:spacing w:line="56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73.552</w:t>
            </w:r>
          </w:p>
        </w:tc>
      </w:tr>
    </w:tbl>
    <w:p w14:paraId="26D30917">
      <w:pPr>
        <w:pStyle w:val="12"/>
        <w:adjustRightInd w:val="0"/>
        <w:snapToGrid w:val="0"/>
        <w:spacing w:line="56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基本需求：</w:t>
      </w:r>
      <w:r>
        <w:rPr>
          <w:rFonts w:hint="eastAsia" w:asciiTheme="minorEastAsia" w:hAnsiTheme="minorEastAsia" w:eastAsiaTheme="minorEastAsia" w:cstheme="minorEastAsia"/>
          <w:sz w:val="24"/>
          <w:szCs w:val="24"/>
          <w:highlight w:val="none"/>
        </w:rPr>
        <w:t>保障首都图书馆B座读者服务、电子阅览和数字资源访问，采购1条</w:t>
      </w:r>
      <w:r>
        <w:rPr>
          <w:rFonts w:hint="eastAsia" w:asciiTheme="minorEastAsia" w:hAnsiTheme="minorEastAsia" w:eastAsiaTheme="minorEastAsia" w:cstheme="minorEastAsia"/>
          <w:sz w:val="24"/>
          <w:szCs w:val="24"/>
          <w:highlight w:val="none"/>
          <w:lang w:val="en-US" w:eastAsia="zh-CN"/>
        </w:rPr>
        <w:t>700</w:t>
      </w:r>
      <w:r>
        <w:rPr>
          <w:rFonts w:hint="eastAsia" w:asciiTheme="minorEastAsia" w:hAnsiTheme="minorEastAsia" w:eastAsiaTheme="minorEastAsia" w:cstheme="minorEastAsia"/>
          <w:sz w:val="24"/>
          <w:szCs w:val="24"/>
          <w:highlight w:val="none"/>
        </w:rPr>
        <w:t>M互联网专线</w:t>
      </w:r>
      <w:r>
        <w:rPr>
          <w:rFonts w:hint="eastAsia" w:asciiTheme="minorEastAsia" w:hAnsiTheme="minorEastAsia" w:eastAsiaTheme="minorEastAsia" w:cstheme="minorEastAsia"/>
          <w:bCs/>
          <w:sz w:val="24"/>
          <w:szCs w:val="24"/>
          <w:highlight w:val="none"/>
        </w:rPr>
        <w:t>。</w:t>
      </w:r>
    </w:p>
    <w:p w14:paraId="557A38E3">
      <w:pPr>
        <w:pStyle w:val="3"/>
        <w:numPr>
          <w:ilvl w:val="0"/>
          <w:numId w:val="0"/>
        </w:numPr>
        <w:autoSpaceDE/>
        <w:autoSpaceDN/>
        <w:snapToGrid w:val="0"/>
        <w:spacing w:before="260" w:after="260" w:line="560" w:lineRule="exact"/>
        <w:ind w:leftChars="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商务要求</w:t>
      </w:r>
    </w:p>
    <w:p w14:paraId="1E4935C4">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1.交货时间：应保证合同签订后3-5个工作日（含5个工作日）完成专线开通及测试。</w:t>
      </w:r>
    </w:p>
    <w:p w14:paraId="4C5E110C">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2.服务期： 17个月</w:t>
      </w:r>
    </w:p>
    <w:p w14:paraId="61F7E0D7">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3.服务地点：首都图书馆（北京市朝阳区东三环南路88号）。</w:t>
      </w:r>
    </w:p>
    <w:p w14:paraId="4F78594D">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4.本合同项下中标人向采购人提供的服务合同总价，分项价格详见第二条或合同附件，该价格为中标人履行本合同项下服务的全部费用，采购人不再另行向中标人支付费用。</w:t>
      </w:r>
    </w:p>
    <w:p w14:paraId="16A91AB3">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ab/>
      </w:r>
      <w:r>
        <w:rPr>
          <w:rFonts w:hint="eastAsia" w:ascii="宋体" w:hAnsi="宋体" w:cs="仿宋_GB2312"/>
          <w:sz w:val="24"/>
          <w:highlight w:val="none"/>
          <w:lang w:val="en-US" w:eastAsia="zh-CN"/>
        </w:rPr>
        <w:t>5.本合同签订且中标人支付履约保证金(若有),中标人完成本合同项下的服务，向采购人交付服务成果，并经采购人验收合格后一个月内采购人向中标人支付第一笔款，即合同总价60%;中标人完成本合同项下的服务，向采购人交付服务成果，经采购人验收合格，运行一个月后无故障，且本项目财政资金到账后一次性付清支付合同结算总价余款。</w:t>
      </w:r>
    </w:p>
    <w:p w14:paraId="0B59FB9B">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ab/>
      </w:r>
      <w:r>
        <w:rPr>
          <w:rFonts w:hint="eastAsia" w:ascii="宋体" w:hAnsi="宋体" w:cs="仿宋_GB2312"/>
          <w:sz w:val="24"/>
          <w:highlight w:val="none"/>
          <w:lang w:val="en-US" w:eastAsia="zh-CN"/>
        </w:rPr>
        <w:t>6.本项目各阶段最终付款方式需等财政资金到账后进行支付，如果财政资金到账迟延，采购人可因此延期支付货款，采购人不因此承担违约责任。</w:t>
      </w:r>
    </w:p>
    <w:p w14:paraId="12E30284">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7.提供详细的售后服务方案，包括服务组织及管理制度、服务响应时间与流程、售后服务内容等。具体要求如下：</w:t>
      </w:r>
    </w:p>
    <w:p w14:paraId="335402EB">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(1)中标人提供7×24故障受理电话。</w:t>
      </w:r>
    </w:p>
    <w:p w14:paraId="588583AD">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(2)中标人在接到采购人故障申告后，15分钟之内进行响应。</w:t>
      </w:r>
    </w:p>
    <w:p w14:paraId="25CC2CD4">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(3)中标人在4小时之内恢复业务，并及时向采购人通告故障处理进展情况。</w:t>
      </w:r>
    </w:p>
    <w:p w14:paraId="33145A8C">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(4)中标人在故障处理完毕3个工作日内，须向采购人递交详细的故障处理报告。</w:t>
      </w:r>
    </w:p>
    <w:p w14:paraId="01173A48">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(5)中标人设专人负责处理故障、进行售后服务工作。协助采购人相关管理人员排查可能因电路质量或故障造成的网络故障。</w:t>
      </w:r>
    </w:p>
    <w:p w14:paraId="4C8753CA">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(6)中标人需提供电话和现场的技术支撑。</w:t>
      </w:r>
    </w:p>
    <w:p w14:paraId="28536809">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(7)若发生重大故障，中标人需提供故障报告并组织召开故障分析会。</w:t>
      </w:r>
    </w:p>
    <w:p w14:paraId="19C780C0">
      <w:pPr>
        <w:tabs>
          <w:tab w:val="left" w:pos="525"/>
        </w:tabs>
        <w:spacing w:line="360" w:lineRule="auto"/>
        <w:ind w:firstLine="480"/>
        <w:rPr>
          <w:rFonts w:hint="eastAsia" w:ascii="宋体" w:hAnsi="宋体" w:cs="仿宋_GB2312"/>
          <w:sz w:val="24"/>
          <w:highlight w:val="none"/>
          <w:lang w:val="en-US" w:eastAsia="zh-CN"/>
        </w:rPr>
      </w:pPr>
      <w:r>
        <w:rPr>
          <w:rFonts w:hint="eastAsia" w:ascii="宋体" w:hAnsi="宋体" w:cs="仿宋_GB2312"/>
          <w:sz w:val="24"/>
          <w:highlight w:val="none"/>
          <w:lang w:val="en-US" w:eastAsia="zh-CN"/>
        </w:rPr>
        <w:t>(8)提供定期巡检服务：中标人应定期(不少于一月一次)到采购人处进行设备巡检，了解采购人需求，分析采购人网络运行情况，提出改进建议和优化措施。</w:t>
      </w:r>
    </w:p>
    <w:p w14:paraId="1871D260">
      <w:pPr>
        <w:tabs>
          <w:tab w:val="left" w:pos="525"/>
        </w:tabs>
        <w:spacing w:line="360" w:lineRule="auto"/>
        <w:ind w:firstLine="480"/>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(9)提供日常保障：中标人提供以互联网专线接入点为标地的局所范围覆盖情况说明，提供专线链路的日常保障工作。</w:t>
      </w:r>
    </w:p>
    <w:p w14:paraId="72975EC4">
      <w:pPr>
        <w:tabs>
          <w:tab w:val="left" w:pos="525"/>
        </w:tabs>
        <w:spacing w:line="360" w:lineRule="auto"/>
        <w:ind w:firstLine="480"/>
        <w:rPr>
          <w:rFonts w:hint="eastAsia" w:asciiTheme="minorEastAsia" w:hAnsiTheme="minorEastAsia" w:eastAsiaTheme="minorEastAsia" w:cstheme="minorEastAsia"/>
          <w:sz w:val="24"/>
          <w:szCs w:val="24"/>
          <w:highlight w:val="none"/>
        </w:rPr>
      </w:pPr>
    </w:p>
    <w:p w14:paraId="059C5FD7">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为保障采购人线路的正常开通使用，投标人应提供能够承担此线路的资质条件，包括并不限于投标人公司简介、专业资质条件、成功经验案例等。</w:t>
      </w:r>
    </w:p>
    <w:p w14:paraId="13E7A1CC">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1.投标人必须持有国家相关主管部门核发的、合法有效的电信业务经营许可证以证明其依法从事相关电信业务的资格。</w:t>
      </w:r>
    </w:p>
    <w:p w14:paraId="736A8DCD">
      <w:pPr>
        <w:tabs>
          <w:tab w:val="left" w:pos="525"/>
        </w:tabs>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2.为保障服务的规范化与安全性，投标人应已建立并持续运行完善的管理体系，以体现其在质量、服务和信息安全方面的系统化管理能力。</w:t>
      </w:r>
    </w:p>
    <w:p w14:paraId="32AF7B31">
      <w:pPr>
        <w:tabs>
          <w:tab w:val="left" w:pos="525"/>
        </w:tabs>
        <w:spacing w:line="360" w:lineRule="auto"/>
        <w:ind w:firstLine="48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3.投标人须提供自2023年1月1日起至本项目投标截止之日止，所完成的多项同类互联网专线或高质量网络接入服务的成功案例证明，用以直接佐证其解决类似复杂需求的实际经验与技术执行力。</w:t>
      </w:r>
      <w:r>
        <w:rPr>
          <w:rFonts w:hint="eastAsia" w:asciiTheme="minorEastAsia" w:hAnsiTheme="minorEastAsia" w:eastAsiaTheme="minorEastAsia" w:cstheme="minorEastAsia"/>
          <w:sz w:val="24"/>
          <w:szCs w:val="24"/>
          <w:highlight w:val="none"/>
          <w:lang w:val="en-US" w:eastAsia="zh-CN"/>
        </w:rPr>
        <w:t>案例时间以合同签订时间为准。</w:t>
      </w:r>
    </w:p>
    <w:p w14:paraId="69892916">
      <w:pPr>
        <w:pStyle w:val="3"/>
        <w:numPr>
          <w:ilvl w:val="0"/>
          <w:numId w:val="0"/>
        </w:numPr>
        <w:autoSpaceDE/>
        <w:autoSpaceDN/>
        <w:snapToGrid w:val="0"/>
        <w:spacing w:before="260" w:after="260" w:line="560" w:lineRule="exact"/>
        <w:ind w:leftChars="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技术要求</w:t>
      </w:r>
    </w:p>
    <w:p w14:paraId="5171FEF1">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1.线路技术要求</w:t>
      </w:r>
    </w:p>
    <w:tbl>
      <w:tblPr>
        <w:tblStyle w:val="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13"/>
        <w:gridCol w:w="1708"/>
        <w:gridCol w:w="4267"/>
        <w:gridCol w:w="2824"/>
      </w:tblGrid>
      <w:tr w14:paraId="5311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shd w:val="clear" w:color="auto" w:fill="A6A6A6"/>
            <w:vAlign w:val="center"/>
          </w:tcPr>
          <w:p w14:paraId="02658694">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613" w:type="dxa"/>
            <w:shd w:val="clear" w:color="auto" w:fill="A6A6A6"/>
            <w:vAlign w:val="center"/>
          </w:tcPr>
          <w:p w14:paraId="4C3E06B2">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重要性</w:t>
            </w:r>
          </w:p>
        </w:tc>
        <w:tc>
          <w:tcPr>
            <w:tcW w:w="1708" w:type="dxa"/>
            <w:shd w:val="clear" w:color="auto" w:fill="A6A6A6"/>
            <w:vAlign w:val="center"/>
          </w:tcPr>
          <w:p w14:paraId="344D7540">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4267" w:type="dxa"/>
            <w:shd w:val="clear" w:color="auto" w:fill="A6A6A6"/>
            <w:vAlign w:val="center"/>
          </w:tcPr>
          <w:p w14:paraId="5AA81F9F">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c>
          <w:tcPr>
            <w:tcW w:w="2824" w:type="dxa"/>
            <w:shd w:val="clear" w:color="auto" w:fill="A6A6A6"/>
            <w:vAlign w:val="center"/>
          </w:tcPr>
          <w:p w14:paraId="102D6003">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证明材料要求</w:t>
            </w:r>
          </w:p>
        </w:tc>
      </w:tr>
      <w:tr w14:paraId="79EF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2" w:type="dxa"/>
            <w:vAlign w:val="center"/>
          </w:tcPr>
          <w:p w14:paraId="19CC0973">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p>
        </w:tc>
        <w:tc>
          <w:tcPr>
            <w:tcW w:w="613" w:type="dxa"/>
            <w:vAlign w:val="center"/>
          </w:tcPr>
          <w:p w14:paraId="66528F47">
            <w:pPr>
              <w:jc w:val="center"/>
              <w:rPr>
                <w:rFonts w:hint="eastAsia" w:asciiTheme="minorEastAsia" w:hAnsiTheme="minorEastAsia" w:eastAsiaTheme="minorEastAsia" w:cstheme="minorEastAsia"/>
                <w:b/>
                <w:sz w:val="24"/>
                <w:szCs w:val="24"/>
                <w:highlight w:val="none"/>
              </w:rPr>
            </w:pPr>
          </w:p>
        </w:tc>
        <w:tc>
          <w:tcPr>
            <w:tcW w:w="1708" w:type="dxa"/>
            <w:vAlign w:val="center"/>
          </w:tcPr>
          <w:p w14:paraId="0C904FD2">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物理链路</w:t>
            </w:r>
          </w:p>
        </w:tc>
        <w:tc>
          <w:tcPr>
            <w:tcW w:w="4267" w:type="dxa"/>
            <w:vAlign w:val="center"/>
          </w:tcPr>
          <w:p w14:paraId="4F8AF320">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光纤符合ITU-T G.652B标准的单模光纤，通过裸光纤到达</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人指定的机房位置，并与本地设备实现对接。</w:t>
            </w:r>
          </w:p>
        </w:tc>
        <w:tc>
          <w:tcPr>
            <w:tcW w:w="2824" w:type="dxa"/>
            <w:vMerge w:val="restart"/>
            <w:vAlign w:val="center"/>
          </w:tcPr>
          <w:p w14:paraId="68015392">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提供承诺函并加盖投标人公章</w:t>
            </w:r>
          </w:p>
        </w:tc>
      </w:tr>
      <w:tr w14:paraId="4621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2" w:type="dxa"/>
            <w:vAlign w:val="center"/>
          </w:tcPr>
          <w:p w14:paraId="6282F03A">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p>
        </w:tc>
        <w:tc>
          <w:tcPr>
            <w:tcW w:w="613" w:type="dxa"/>
            <w:vAlign w:val="center"/>
          </w:tcPr>
          <w:p w14:paraId="6DC2C9D5">
            <w:pPr>
              <w:jc w:val="center"/>
              <w:rPr>
                <w:rFonts w:hint="eastAsia" w:asciiTheme="minorEastAsia" w:hAnsiTheme="minorEastAsia" w:eastAsiaTheme="minorEastAsia" w:cstheme="minorEastAsia"/>
                <w:b/>
                <w:sz w:val="24"/>
                <w:szCs w:val="24"/>
                <w:highlight w:val="none"/>
              </w:rPr>
            </w:pPr>
          </w:p>
        </w:tc>
        <w:tc>
          <w:tcPr>
            <w:tcW w:w="1708" w:type="dxa"/>
            <w:vAlign w:val="center"/>
          </w:tcPr>
          <w:p w14:paraId="168C5A10">
            <w:pPr>
              <w:jc w:val="center"/>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bCs/>
                <w:sz w:val="24"/>
                <w:szCs w:val="24"/>
                <w:highlight w:val="none"/>
              </w:rPr>
              <w:t>接口类型</w:t>
            </w:r>
          </w:p>
        </w:tc>
        <w:tc>
          <w:tcPr>
            <w:tcW w:w="4267" w:type="dxa"/>
            <w:vAlign w:val="center"/>
          </w:tcPr>
          <w:p w14:paraId="2A51D0FD">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lang w:bidi="en-US"/>
              </w:rPr>
              <w:t>提供千兆光口或千兆电口</w:t>
            </w:r>
          </w:p>
        </w:tc>
        <w:tc>
          <w:tcPr>
            <w:tcW w:w="2824" w:type="dxa"/>
            <w:vMerge w:val="continue"/>
            <w:vAlign w:val="center"/>
          </w:tcPr>
          <w:p w14:paraId="2FC8195A">
            <w:pPr>
              <w:jc w:val="center"/>
              <w:rPr>
                <w:rFonts w:hint="eastAsia" w:asciiTheme="minorEastAsia" w:hAnsiTheme="minorEastAsia" w:eastAsiaTheme="minorEastAsia" w:cstheme="minorEastAsia"/>
                <w:sz w:val="24"/>
                <w:szCs w:val="24"/>
                <w:highlight w:val="none"/>
                <w:lang w:bidi="en-US"/>
              </w:rPr>
            </w:pPr>
          </w:p>
        </w:tc>
      </w:tr>
      <w:tr w14:paraId="506F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11BD529D">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w:t>
            </w:r>
          </w:p>
        </w:tc>
        <w:tc>
          <w:tcPr>
            <w:tcW w:w="613" w:type="dxa"/>
            <w:vAlign w:val="center"/>
          </w:tcPr>
          <w:p w14:paraId="5F21649F">
            <w:pPr>
              <w:jc w:val="center"/>
              <w:rPr>
                <w:rFonts w:hint="eastAsia" w:asciiTheme="minorEastAsia" w:hAnsiTheme="minorEastAsia" w:eastAsiaTheme="minorEastAsia" w:cstheme="minorEastAsia"/>
                <w:sz w:val="24"/>
                <w:szCs w:val="24"/>
                <w:highlight w:val="none"/>
              </w:rPr>
            </w:pPr>
          </w:p>
        </w:tc>
        <w:tc>
          <w:tcPr>
            <w:tcW w:w="1708" w:type="dxa"/>
            <w:vAlign w:val="center"/>
          </w:tcPr>
          <w:p w14:paraId="7FE8F0F9">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独享要求</w:t>
            </w:r>
          </w:p>
        </w:tc>
        <w:tc>
          <w:tcPr>
            <w:tcW w:w="4267" w:type="dxa"/>
            <w:vAlign w:val="center"/>
          </w:tcPr>
          <w:p w14:paraId="4D5C9FE0">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采购人接入设备出口至中标人骨干节点设备间带宽独享</w:t>
            </w:r>
            <w:r>
              <w:rPr>
                <w:rFonts w:hint="eastAsia" w:asciiTheme="minorEastAsia" w:hAnsiTheme="minorEastAsia" w:eastAsiaTheme="minorEastAsia" w:cstheme="minorEastAsia"/>
                <w:sz w:val="24"/>
                <w:szCs w:val="24"/>
                <w:highlight w:val="none"/>
                <w:lang w:bidi="en-US"/>
              </w:rPr>
              <w:t>。</w:t>
            </w:r>
          </w:p>
        </w:tc>
        <w:tc>
          <w:tcPr>
            <w:tcW w:w="2824" w:type="dxa"/>
            <w:vMerge w:val="continue"/>
            <w:vAlign w:val="center"/>
          </w:tcPr>
          <w:p w14:paraId="037C8C43">
            <w:pPr>
              <w:jc w:val="center"/>
              <w:rPr>
                <w:rFonts w:hint="eastAsia" w:asciiTheme="minorEastAsia" w:hAnsiTheme="minorEastAsia" w:eastAsiaTheme="minorEastAsia" w:cstheme="minorEastAsia"/>
                <w:sz w:val="24"/>
                <w:szCs w:val="24"/>
                <w:highlight w:val="none"/>
                <w:lang w:bidi="en-US"/>
              </w:rPr>
            </w:pPr>
          </w:p>
        </w:tc>
      </w:tr>
      <w:tr w14:paraId="26A6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2C0F721">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w:t>
            </w:r>
          </w:p>
        </w:tc>
        <w:tc>
          <w:tcPr>
            <w:tcW w:w="613" w:type="dxa"/>
            <w:vAlign w:val="center"/>
          </w:tcPr>
          <w:p w14:paraId="7B86BE9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22096A9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IP地址要求</w:t>
            </w:r>
          </w:p>
        </w:tc>
        <w:tc>
          <w:tcPr>
            <w:tcW w:w="4267" w:type="dxa"/>
            <w:vAlign w:val="center"/>
          </w:tcPr>
          <w:p w14:paraId="14231A82">
            <w:pPr>
              <w:jc w:val="left"/>
              <w:rPr>
                <w:rFonts w:hint="eastAsia" w:asciiTheme="minorEastAsia" w:hAnsiTheme="minorEastAsia" w:eastAsiaTheme="minorEastAsia" w:cstheme="minorEastAsia"/>
                <w:sz w:val="24"/>
                <w:szCs w:val="24"/>
                <w:highlight w:val="none"/>
                <w:lang w:bidi="en-US"/>
              </w:rPr>
            </w:pPr>
            <w:r>
              <w:rPr>
                <w:rFonts w:hint="eastAsia" w:asciiTheme="minorEastAsia" w:hAnsiTheme="minorEastAsia" w:eastAsiaTheme="minorEastAsia" w:cstheme="minorEastAsia"/>
                <w:sz w:val="24"/>
                <w:szCs w:val="24"/>
                <w:highlight w:val="none"/>
              </w:rPr>
              <w:t>提供公网IPv4地址≥128个，/64前缀IPv6地址。</w:t>
            </w:r>
          </w:p>
        </w:tc>
        <w:tc>
          <w:tcPr>
            <w:tcW w:w="2824" w:type="dxa"/>
            <w:vMerge w:val="continue"/>
            <w:vAlign w:val="center"/>
          </w:tcPr>
          <w:p w14:paraId="6D60BF77">
            <w:pPr>
              <w:jc w:val="center"/>
              <w:rPr>
                <w:rFonts w:hint="eastAsia" w:asciiTheme="minorEastAsia" w:hAnsiTheme="minorEastAsia" w:eastAsiaTheme="minorEastAsia" w:cstheme="minorEastAsia"/>
                <w:sz w:val="24"/>
                <w:szCs w:val="24"/>
                <w:highlight w:val="none"/>
                <w:lang w:bidi="en-US"/>
              </w:rPr>
            </w:pPr>
          </w:p>
        </w:tc>
      </w:tr>
      <w:tr w14:paraId="4202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7766D49D">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w:t>
            </w:r>
          </w:p>
        </w:tc>
        <w:tc>
          <w:tcPr>
            <w:tcW w:w="613" w:type="dxa"/>
            <w:vAlign w:val="center"/>
          </w:tcPr>
          <w:p w14:paraId="39E007C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2AFC936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承诺可用率</w:t>
            </w:r>
          </w:p>
        </w:tc>
        <w:tc>
          <w:tcPr>
            <w:tcW w:w="4267" w:type="dxa"/>
            <w:vAlign w:val="center"/>
          </w:tcPr>
          <w:p w14:paraId="3F44BC9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承诺互联网专线带宽可用率≥99.9%</w:t>
            </w:r>
          </w:p>
        </w:tc>
        <w:tc>
          <w:tcPr>
            <w:tcW w:w="2824" w:type="dxa"/>
            <w:vMerge w:val="continue"/>
            <w:vAlign w:val="center"/>
          </w:tcPr>
          <w:p w14:paraId="676201B0">
            <w:pPr>
              <w:jc w:val="center"/>
              <w:rPr>
                <w:rFonts w:hint="eastAsia" w:asciiTheme="minorEastAsia" w:hAnsiTheme="minorEastAsia" w:eastAsiaTheme="minorEastAsia" w:cstheme="minorEastAsia"/>
                <w:sz w:val="24"/>
                <w:szCs w:val="24"/>
                <w:highlight w:val="none"/>
                <w:lang w:bidi="en-US"/>
              </w:rPr>
            </w:pPr>
          </w:p>
        </w:tc>
      </w:tr>
      <w:tr w14:paraId="3736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2371CF18">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w:t>
            </w:r>
          </w:p>
        </w:tc>
        <w:tc>
          <w:tcPr>
            <w:tcW w:w="613" w:type="dxa"/>
            <w:vAlign w:val="center"/>
          </w:tcPr>
          <w:p w14:paraId="1BC0071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661456F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延时率要求</w:t>
            </w:r>
          </w:p>
        </w:tc>
        <w:tc>
          <w:tcPr>
            <w:tcW w:w="4267" w:type="dxa"/>
            <w:vAlign w:val="center"/>
          </w:tcPr>
          <w:p w14:paraId="0CBF821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延时率≤50ms（至网内热点网站的Ping网络时延）。</w:t>
            </w:r>
          </w:p>
        </w:tc>
        <w:tc>
          <w:tcPr>
            <w:tcW w:w="2824" w:type="dxa"/>
            <w:vMerge w:val="continue"/>
            <w:vAlign w:val="center"/>
          </w:tcPr>
          <w:p w14:paraId="4B3684E7">
            <w:pPr>
              <w:jc w:val="center"/>
              <w:rPr>
                <w:rFonts w:hint="eastAsia" w:asciiTheme="minorEastAsia" w:hAnsiTheme="minorEastAsia" w:eastAsiaTheme="minorEastAsia" w:cstheme="minorEastAsia"/>
                <w:sz w:val="24"/>
                <w:szCs w:val="24"/>
                <w:highlight w:val="none"/>
                <w:lang w:bidi="en-US"/>
              </w:rPr>
            </w:pPr>
          </w:p>
        </w:tc>
      </w:tr>
      <w:tr w14:paraId="69D3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2EE1842A">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w:t>
            </w:r>
          </w:p>
        </w:tc>
        <w:tc>
          <w:tcPr>
            <w:tcW w:w="613" w:type="dxa"/>
            <w:vAlign w:val="center"/>
          </w:tcPr>
          <w:p w14:paraId="1D76190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708" w:type="dxa"/>
            <w:vAlign w:val="center"/>
          </w:tcPr>
          <w:p w14:paraId="0967D05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丢包率要求</w:t>
            </w:r>
          </w:p>
        </w:tc>
        <w:tc>
          <w:tcPr>
            <w:tcW w:w="4267" w:type="dxa"/>
            <w:vAlign w:val="center"/>
          </w:tcPr>
          <w:p w14:paraId="31E0A9E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丢包率（Frame Loss）：≤1%（承诺带宽内）</w:t>
            </w:r>
          </w:p>
        </w:tc>
        <w:tc>
          <w:tcPr>
            <w:tcW w:w="2824" w:type="dxa"/>
            <w:vMerge w:val="continue"/>
            <w:vAlign w:val="center"/>
          </w:tcPr>
          <w:p w14:paraId="4FD68314">
            <w:pPr>
              <w:jc w:val="center"/>
              <w:rPr>
                <w:rFonts w:hint="eastAsia" w:asciiTheme="minorEastAsia" w:hAnsiTheme="minorEastAsia" w:eastAsiaTheme="minorEastAsia" w:cstheme="minorEastAsia"/>
                <w:sz w:val="24"/>
                <w:szCs w:val="24"/>
                <w:highlight w:val="none"/>
                <w:lang w:bidi="en-US"/>
              </w:rPr>
            </w:pPr>
          </w:p>
        </w:tc>
      </w:tr>
      <w:tr w14:paraId="54D4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2" w:type="dxa"/>
            <w:vAlign w:val="center"/>
          </w:tcPr>
          <w:p w14:paraId="62DCC6F8">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w:t>
            </w:r>
          </w:p>
        </w:tc>
        <w:tc>
          <w:tcPr>
            <w:tcW w:w="613" w:type="dxa"/>
            <w:vAlign w:val="center"/>
          </w:tcPr>
          <w:p w14:paraId="534D5B25">
            <w:pPr>
              <w:jc w:val="center"/>
              <w:rPr>
                <w:rFonts w:hint="eastAsia" w:asciiTheme="minorEastAsia" w:hAnsiTheme="minorEastAsia" w:eastAsiaTheme="minorEastAsia" w:cstheme="minorEastAsia"/>
                <w:sz w:val="24"/>
                <w:szCs w:val="24"/>
                <w:highlight w:val="none"/>
              </w:rPr>
            </w:pPr>
          </w:p>
        </w:tc>
        <w:tc>
          <w:tcPr>
            <w:tcW w:w="1708" w:type="dxa"/>
            <w:vAlign w:val="center"/>
          </w:tcPr>
          <w:p w14:paraId="4200B069">
            <w:pPr>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网络建设要求</w:t>
            </w:r>
          </w:p>
        </w:tc>
        <w:tc>
          <w:tcPr>
            <w:tcW w:w="4267" w:type="dxa"/>
            <w:vAlign w:val="center"/>
          </w:tcPr>
          <w:p w14:paraId="3A52E220">
            <w:pPr>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本项目建设地点为首都图书馆，须提供相关的接入设备，并提供相关网络资源及服务人员配合首都图书馆完成网络架构调整。</w:t>
            </w:r>
          </w:p>
        </w:tc>
        <w:tc>
          <w:tcPr>
            <w:tcW w:w="2824" w:type="dxa"/>
            <w:vAlign w:val="center"/>
          </w:tcPr>
          <w:p w14:paraId="387DC175">
            <w:pPr>
              <w:jc w:val="center"/>
              <w:rPr>
                <w:rFonts w:hint="eastAsia" w:asciiTheme="minorEastAsia" w:hAnsiTheme="minorEastAsia" w:eastAsiaTheme="minorEastAsia" w:cstheme="minorEastAsia"/>
                <w:b/>
                <w:sz w:val="24"/>
                <w:szCs w:val="24"/>
                <w:highlight w:val="none"/>
              </w:rPr>
            </w:pPr>
          </w:p>
        </w:tc>
      </w:tr>
    </w:tbl>
    <w:p w14:paraId="7E973A47">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2.链路要求 </w:t>
      </w:r>
    </w:p>
    <w:p w14:paraId="6A04435D">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确保为本项目提供的互联网专线服务具备资源可控性、高可用性与优质性能，对投标人网络基础资源及架构提出如下明确要求：</w:t>
      </w:r>
    </w:p>
    <w:p w14:paraId="6FB2ED07">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保证服务链路的稳定可靠与长期服务能力，避免因资源权属不清或多次转接引入的不确定性风险，投标人为本项目提供的端到端物理传输链路及最终互联网带宽出口，需为投标人自建、自有的核心网络资源，或在本项目</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指定的服务区域内已持有合法、有效且长期的管道（或光纤）租用协议。</w:t>
      </w:r>
    </w:p>
    <w:p w14:paraId="350C1420">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（2）网络架构与性能要求</w:t>
      </w:r>
    </w:p>
    <w:p w14:paraId="42BE2413">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为保证为本项目提供的网络服务具备高稳定性、低故障率与低延迟特性，投标人需确保其网络架构能够实现从采购人指定的出口设备接入点至其自有骨干网络节点的最短路径、最优路由接入。</w:t>
      </w:r>
    </w:p>
    <w:p w14:paraId="48F35833">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3.周边资源覆盖要求</w:t>
      </w:r>
    </w:p>
    <w:p w14:paraId="1DEA6297">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为确保项目的服务响应效率、故障处理的及时性以及未来网络扩展的便利性，投标人必须具备在招标方所在区域及周边具备切实、可验证的网络资源覆盖与快速接入能力。</w:t>
      </w:r>
    </w:p>
    <w:p w14:paraId="454E0F8F">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4.海外资源访问要求</w:t>
      </w:r>
    </w:p>
    <w:p w14:paraId="2E07940E">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为保障采购人海外资源访问需求，要求投标人具备海外出口带宽。投标人</w:t>
      </w:r>
      <w:r>
        <w:rPr>
          <w:rFonts w:hint="eastAsia" w:asciiTheme="minorEastAsia" w:hAnsiTheme="minorEastAsia" w:eastAsiaTheme="minorEastAsia" w:cstheme="minorEastAsia"/>
          <w:sz w:val="24"/>
          <w:szCs w:val="24"/>
          <w:highlight w:val="none"/>
          <w:lang w:eastAsia="zh-CN"/>
        </w:rPr>
        <w:t>具备自有或租用的</w:t>
      </w:r>
      <w:r>
        <w:rPr>
          <w:rFonts w:hint="eastAsia" w:asciiTheme="minorEastAsia" w:hAnsiTheme="minorEastAsia" w:eastAsiaTheme="minorEastAsia" w:cstheme="minorEastAsia"/>
          <w:sz w:val="24"/>
          <w:szCs w:val="24"/>
          <w:highlight w:val="none"/>
        </w:rPr>
        <w:t>国际互联出口，且具备骨干网络国际出口带宽。</w:t>
      </w:r>
    </w:p>
    <w:p w14:paraId="6F37A527">
      <w:pPr>
        <w:pStyle w:val="3"/>
        <w:numPr>
          <w:ilvl w:val="0"/>
          <w:numId w:val="0"/>
        </w:numPr>
        <w:autoSpaceDE/>
        <w:autoSpaceDN/>
        <w:snapToGrid w:val="0"/>
        <w:spacing w:before="260" w:after="260" w:line="560" w:lineRule="exact"/>
        <w:ind w:leftChars="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服务要求</w:t>
      </w:r>
    </w:p>
    <w:p w14:paraId="11A5B559">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1.项目实施要求</w:t>
      </w:r>
    </w:p>
    <w:p w14:paraId="51449DC7">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为保障项目的顺利实施与有效交付，投标人须针对本项目特点编制详细且具针对性的技术及服务实施方案。</w:t>
      </w:r>
    </w:p>
    <w:p w14:paraId="0AB279D7">
      <w:pPr>
        <w:pStyle w:val="1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提供项目实施方案，阐述为履行本项目合同而设立的项目组织管理体系，明确拟投入本项目的核心管理与技术人员名单，并清晰界定其在项目中的具体职责与分工。</w:t>
      </w:r>
    </w:p>
    <w:p w14:paraId="0CFCEB1D">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应提供详细的网络资源部署与线路实施方案，详细说明为满足本项目的具体带宽与性能需求，所规划的网络节点部署位置，清晰的开通线路路由设计图。提供完整的项目实施进度计划表，覆盖从合同生效至全部服务交付完成的全过程。</w:t>
      </w:r>
    </w:p>
    <w:p w14:paraId="4A60CDFA">
      <w:pPr>
        <w:pStyle w:val="1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实施过程控制：提供项目实施方案，说明如何利用人力及其它资源来承担其合同项下整体的项目顺利实施及按期交付。该方案应包括服务组织架构、人员组成及职责、服务商针对所需带宽的节点部署及线路情况，并提供详细的实施计划进度表，需标明完成合同所有关键活动的预计时间。投标人应为本项目设立项目经理及技术实施人员</w:t>
      </w:r>
      <w:r>
        <w:rPr>
          <w:rFonts w:hint="eastAsia" w:asciiTheme="minorEastAsia" w:hAnsiTheme="minorEastAsia" w:eastAsiaTheme="minorEastAsia" w:cstheme="minorEastAsia"/>
          <w:sz w:val="24"/>
          <w:szCs w:val="24"/>
          <w:highlight w:val="none"/>
          <w:lang w:eastAsia="zh-CN"/>
        </w:rPr>
        <w:t>，满足不少于5人的技术实施团队，</w:t>
      </w:r>
      <w:r>
        <w:rPr>
          <w:rFonts w:hint="eastAsia" w:asciiTheme="minorEastAsia" w:hAnsiTheme="minorEastAsia" w:eastAsiaTheme="minorEastAsia" w:cstheme="minorEastAsia"/>
          <w:sz w:val="24"/>
          <w:szCs w:val="24"/>
          <w:highlight w:val="none"/>
          <w:lang w:val="en-US" w:eastAsia="zh-CN"/>
        </w:rPr>
        <w:t>应有</w:t>
      </w:r>
      <w:r>
        <w:rPr>
          <w:rFonts w:hint="eastAsia" w:asciiTheme="minorEastAsia" w:hAnsiTheme="minorEastAsia" w:eastAsiaTheme="minorEastAsia" w:cstheme="minorEastAsia"/>
          <w:sz w:val="24"/>
          <w:szCs w:val="24"/>
          <w:highlight w:val="none"/>
          <w:lang w:eastAsia="zh-CN"/>
        </w:rPr>
        <w:t>团队成员具备通信专业高级工程师和通信专业中级工程师</w:t>
      </w:r>
      <w:r>
        <w:rPr>
          <w:rFonts w:hint="eastAsia" w:asciiTheme="minorEastAsia" w:hAnsiTheme="minorEastAsia" w:eastAsiaTheme="minorEastAsia" w:cstheme="minorEastAsia"/>
          <w:sz w:val="24"/>
          <w:szCs w:val="24"/>
          <w:highlight w:val="none"/>
          <w:lang w:val="en-US" w:eastAsia="zh-CN"/>
        </w:rPr>
        <w:t>证书</w:t>
      </w:r>
      <w:r>
        <w:rPr>
          <w:rFonts w:hint="eastAsia" w:asciiTheme="minorEastAsia" w:hAnsiTheme="minorEastAsia" w:eastAsiaTheme="minorEastAsia" w:cstheme="minorEastAsia"/>
          <w:sz w:val="24"/>
          <w:szCs w:val="24"/>
          <w:highlight w:val="none"/>
        </w:rPr>
        <w:t xml:space="preserve">。 </w:t>
      </w:r>
    </w:p>
    <w:p w14:paraId="6205110E">
      <w:pPr>
        <w:adjustRightInd w:val="0"/>
        <w:snapToGrid w:val="0"/>
        <w:spacing w:line="560" w:lineRule="exact"/>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（2）项目实施文档管理承诺：项目实施过程中所收集、产生的所有与本项目相关文档、资料， 包括文字、图片、表格、数字等各种形式所属权均归属采购人，投标人有义务对所涉及到的内容保密，应按照要求签署保密协议。</w:t>
      </w:r>
    </w:p>
    <w:p w14:paraId="1ADC1E6A">
      <w:pPr>
        <w:pStyle w:val="2"/>
        <w:spacing w:line="360" w:lineRule="auto"/>
        <w:ind w:firstLine="476" w:firstLineChars="200"/>
        <w:rPr>
          <w:rFonts w:hint="eastAsia" w:asciiTheme="minorEastAsia" w:hAnsiTheme="minorEastAsia" w:eastAsiaTheme="minorEastAsia" w:cstheme="minorEastAsia"/>
          <w:spacing w:val="-1"/>
          <w:sz w:val="24"/>
          <w:szCs w:val="24"/>
          <w:highlight w:val="none"/>
          <w:lang w:val="zh-CN"/>
        </w:rPr>
      </w:pPr>
      <w:r>
        <w:rPr>
          <w:rFonts w:hint="eastAsia" w:asciiTheme="minorEastAsia" w:hAnsiTheme="minorEastAsia" w:eastAsiaTheme="minorEastAsia" w:cstheme="minorEastAsia"/>
          <w:spacing w:val="-1"/>
          <w:sz w:val="24"/>
          <w:szCs w:val="24"/>
          <w:highlight w:val="none"/>
          <w:lang w:val="zh-CN"/>
        </w:rPr>
        <w:t>（3）投标人应明确交付时长，保证合同签订后3-5个工作日（含5个工作日）完成专线开通及测试。如未按时交付，项目所产生的相关费用由投标人承担。</w:t>
      </w:r>
    </w:p>
    <w:p w14:paraId="438466D2">
      <w:pPr>
        <w:pStyle w:val="4"/>
        <w:numPr>
          <w:ilvl w:val="0"/>
          <w:numId w:val="2"/>
        </w:numPr>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系统割接要求</w:t>
      </w:r>
    </w:p>
    <w:p w14:paraId="1F5CCBD3">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为保证线路能够正常使用，带宽稳定、避免产生故障及网络延迟，投标人需全力配合采购人完成系统网络迁移、网站备案等相关工作，全程提供专业技术支持，确保各项工作合规有序推进。</w:t>
      </w:r>
    </w:p>
    <w:p w14:paraId="14D1EBDD">
      <w:pPr>
        <w:pStyle w:val="4"/>
        <w:numPr>
          <w:ilvl w:val="0"/>
          <w:numId w:val="2"/>
        </w:numPr>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运维服务方案要求</w:t>
      </w:r>
    </w:p>
    <w:p w14:paraId="297B2329">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应了解客户需求，精准分析图书馆网络运行负载、故障频次、安全隐患等现状及采购需求。提供详细的运维服务方案，如定期巡检服务、日常保障、服务响应时间与流程、服务管理制度等，做好网络带宽监测、数据备份、病毒防护，规范人员值守、工单流转、客户沟通流程，并结合网络运行数据，提出带宽扩容、链路冗余、系统优化等改进建议。</w:t>
      </w:r>
    </w:p>
    <w:p w14:paraId="29E9B36A">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投标人应严格执行国家、行业关于安全生产的各项规章制度，细化内部工作要求，并将安全生产作为岗前教育的重要内容，确保运维工作规范化。</w:t>
      </w:r>
    </w:p>
    <w:p w14:paraId="0DC651E4">
      <w:pPr>
        <w:pStyle w:val="7"/>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投标人获得与本项目相关的采购人的保密信息，应当采取适当有效的方式保护所获取的信息，未经授权不得使用、传播或者公开，投标人不得以任何形式向第三方透露本项目标书以及本项目的任何内容。</w:t>
      </w:r>
    </w:p>
    <w:p w14:paraId="15128C57">
      <w:pPr>
        <w:pStyle w:val="4"/>
        <w:snapToGrid w:val="0"/>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 重大活动应急保障服务要求</w:t>
      </w:r>
    </w:p>
    <w:p w14:paraId="7DBD1BFC">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为保障本项目服务在国家、地方或行业重大活动期间及突发事件中的稳定、可靠与安全运行，投标人须提交一份完整的重大活动应急保障方案。</w:t>
      </w:r>
    </w:p>
    <w:p w14:paraId="067EA243">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明确针对重大活动及突发事件的应急指挥体系，并详细说明各岗位在应急状态下的职责、权限及协作机制。</w:t>
      </w:r>
    </w:p>
    <w:p w14:paraId="257514A1">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阐述在重大活动保障期前后及期间，为提升系统健壮性、防范风险所采取的具体技术与管理措施。</w:t>
      </w:r>
    </w:p>
    <w:p w14:paraId="4292B476">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针对可能出现的不同等级、不同类型的突发事件，制定分级分类的响应策略。明确各类事件的判定标准、内部通报流程、决策机制及初步处置原则。</w:t>
      </w:r>
    </w:p>
    <w:p w14:paraId="3113D306">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制定专门针对本项目所涉网络的、具体且可操作的应急预案。</w:t>
      </w:r>
    </w:p>
    <w:p w14:paraId="2F7ED94C">
      <w:pPr>
        <w:pStyle w:val="2"/>
        <w:rPr>
          <w:rFonts w:hint="eastAsia"/>
          <w:highlight w:val="none"/>
        </w:rPr>
      </w:pPr>
      <w:r>
        <w:rPr>
          <w:rFonts w:hint="eastAsia"/>
          <w:highlight w:val="none"/>
          <w:lang w:val="en-US" w:eastAsia="zh-CN"/>
        </w:rPr>
        <w:tab/>
      </w:r>
      <w:r>
        <w:rPr>
          <w:rFonts w:hint="eastAsia"/>
          <w:highlight w:val="none"/>
        </w:rPr>
        <w:t>提供重大活动保障所需的专项资源保障方案，明确应急物资、备用设备、支撑工具、通讯保障等资源配置、储备及快速调度机制，满足全天候应急处置需求。</w:t>
      </w:r>
    </w:p>
    <w:p w14:paraId="34F17C6C">
      <w:pPr>
        <w:pStyle w:val="2"/>
        <w:rPr>
          <w:rFonts w:hint="eastAsia"/>
          <w:highlight w:val="none"/>
        </w:rPr>
      </w:pPr>
      <w:r>
        <w:rPr>
          <w:rFonts w:hint="eastAsia"/>
          <w:highlight w:val="none"/>
        </w:rPr>
        <w:tab/>
      </w:r>
      <w:r>
        <w:rPr>
          <w:rFonts w:hint="eastAsia"/>
          <w:highlight w:val="none"/>
          <w:lang w:val="en-US" w:eastAsia="zh-CN"/>
        </w:rPr>
        <w:t>提供</w:t>
      </w:r>
      <w:r>
        <w:rPr>
          <w:rFonts w:hint="eastAsia"/>
          <w:highlight w:val="none"/>
        </w:rPr>
        <w:t>重大活动保障全过程服务追溯与改进机制，实现事件处置、响应流程、处置结果可追溯、可核查，并形成复盘总结与持续优化机制。</w:t>
      </w:r>
    </w:p>
    <w:p w14:paraId="42489385">
      <w:pPr>
        <w:tabs>
          <w:tab w:val="left" w:pos="525"/>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要求方案内容系统、具体，专门为本项目及重大活动保障场景量身定制，各项措施、策略和预案深度符合采购需求，贴近实际情况，具备很强的实战指导价值。</w:t>
      </w:r>
    </w:p>
    <w:p w14:paraId="6F29ADDB">
      <w:pPr>
        <w:pStyle w:val="2"/>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为全面证明投标人在重大活动应急保障领域的专业能力与实战经验，投标人需提供重大活动应急保障服务案例文件，涵盖项目背景、实施过程及结果等。</w:t>
      </w:r>
    </w:p>
    <w:p w14:paraId="100E0D1C">
      <w:pPr>
        <w:pStyle w:val="4"/>
        <w:snapToGrid w:val="0"/>
        <w:spacing w:line="560" w:lineRule="exact"/>
        <w:rPr>
          <w:rFonts w:hint="eastAsia" w:asciiTheme="minorEastAsia" w:hAnsiTheme="minorEastAsia" w:eastAsiaTheme="minorEastAsia" w:cstheme="minorEastAsia"/>
          <w:b w:val="0"/>
          <w:sz w:val="24"/>
          <w:szCs w:val="24"/>
          <w:highlight w:val="none"/>
          <w:u w:val="none"/>
        </w:rPr>
      </w:pPr>
      <w:r>
        <w:rPr>
          <w:rFonts w:hint="eastAsia" w:asciiTheme="minorEastAsia" w:hAnsiTheme="minorEastAsia" w:eastAsiaTheme="minorEastAsia" w:cstheme="minorEastAsia"/>
          <w:b w:val="0"/>
          <w:sz w:val="24"/>
          <w:szCs w:val="24"/>
          <w:highlight w:val="none"/>
          <w:u w:val="none"/>
        </w:rPr>
        <w:t>·其他材料（投标人可根据实际情况提供其他项目佐证材料）。</w:t>
      </w:r>
    </w:p>
    <w:p w14:paraId="0CDE8E33">
      <w:pPr>
        <w:tabs>
          <w:tab w:val="center" w:pos="4536"/>
        </w:tabs>
        <w:bidi w:val="0"/>
        <w:jc w:val="left"/>
        <w:rPr>
          <w:highlight w:val="none"/>
          <w:lang w:val="en-US" w:eastAsia="zh-CN"/>
        </w:rPr>
        <w:sectPr>
          <w:pgSz w:w="11907" w:h="16840"/>
          <w:pgMar w:top="1418" w:right="1134" w:bottom="1418" w:left="1701" w:header="851" w:footer="851" w:gutter="0"/>
          <w:cols w:space="720" w:num="1"/>
          <w:docGrid w:linePitch="462" w:charSpace="0"/>
        </w:sectPr>
      </w:pPr>
    </w:p>
    <w:p w14:paraId="39FAA9F0">
      <w:pPr>
        <w:spacing w:line="360" w:lineRule="auto"/>
        <w:jc w:val="center"/>
        <w:outlineLvl w:val="1"/>
        <w:rPr>
          <w:rFonts w:hint="eastAsia"/>
          <w:b/>
          <w:bCs w:val="0"/>
          <w:sz w:val="24"/>
          <w:szCs w:val="24"/>
          <w:highlight w:val="none"/>
          <w:lang w:val="en-US" w:eastAsia="zh-CN"/>
        </w:rPr>
      </w:pPr>
      <w:bookmarkStart w:id="22" w:name="_Toc26265"/>
      <w:bookmarkStart w:id="23" w:name="_Toc1574"/>
      <w:bookmarkStart w:id="24" w:name="_Toc25740"/>
      <w:r>
        <w:rPr>
          <w:rFonts w:hint="eastAsia"/>
          <w:b/>
          <w:bCs w:val="0"/>
          <w:sz w:val="24"/>
          <w:szCs w:val="24"/>
          <w:highlight w:val="none"/>
        </w:rPr>
        <w:t>首都图书馆2026年互联网专线接入费及政务云服务采购项目</w:t>
      </w:r>
      <w:r>
        <w:rPr>
          <w:rFonts w:hint="eastAsia"/>
          <w:b/>
          <w:bCs w:val="0"/>
          <w:sz w:val="24"/>
          <w:szCs w:val="24"/>
          <w:highlight w:val="none"/>
          <w:lang w:val="en-US" w:eastAsia="zh-CN"/>
        </w:rPr>
        <w:t>第七包政务云</w:t>
      </w:r>
      <w:bookmarkEnd w:id="22"/>
      <w:bookmarkEnd w:id="23"/>
      <w:bookmarkEnd w:id="24"/>
    </w:p>
    <w:p w14:paraId="3BEDACF8">
      <w:pPr>
        <w:bidi w:val="0"/>
        <w:rPr>
          <w:rFonts w:ascii="Times New Roman" w:hAnsi="Times New Roman" w:eastAsia="宋体" w:cs="Times New Roman"/>
          <w:kern w:val="2"/>
          <w:sz w:val="21"/>
          <w:szCs w:val="24"/>
          <w:highlight w:val="none"/>
          <w:lang w:val="en-US" w:eastAsia="zh-CN" w:bidi="ar-SA"/>
        </w:rPr>
      </w:pPr>
    </w:p>
    <w:p w14:paraId="5581C7B8">
      <w:pPr>
        <w:bidi w:val="0"/>
        <w:rPr>
          <w:highlight w:val="none"/>
          <w:lang w:val="en-US" w:eastAsia="zh-CN"/>
        </w:rPr>
      </w:pPr>
    </w:p>
    <w:p w14:paraId="1D109E27">
      <w:pPr>
        <w:pStyle w:val="3"/>
        <w:bidi w:val="0"/>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一、采购标的</w:t>
      </w:r>
    </w:p>
    <w:tbl>
      <w:tblPr>
        <w:tblStyle w:val="9"/>
        <w:tblW w:w="8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5"/>
        <w:gridCol w:w="2386"/>
        <w:gridCol w:w="1514"/>
      </w:tblGrid>
      <w:tr w14:paraId="205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95" w:type="dxa"/>
            <w:vAlign w:val="center"/>
          </w:tcPr>
          <w:p w14:paraId="086208DA">
            <w:pPr>
              <w:keepNext w:val="0"/>
              <w:keepLines w:val="0"/>
              <w:suppressLineNumbers w:val="0"/>
              <w:adjustRightInd w:val="0"/>
              <w:snapToGrid w:val="0"/>
              <w:spacing w:before="0" w:beforeAutospacing="0" w:afterAutospacing="0" w:line="360" w:lineRule="auto"/>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2386" w:type="dxa"/>
            <w:vAlign w:val="center"/>
          </w:tcPr>
          <w:p w14:paraId="0DFCC96E">
            <w:pPr>
              <w:keepNext w:val="0"/>
              <w:keepLines w:val="0"/>
              <w:suppressLineNumbers w:val="0"/>
              <w:adjustRightInd w:val="0"/>
              <w:snapToGrid w:val="0"/>
              <w:spacing w:before="0" w:beforeAutospacing="0" w:afterAutospacing="0" w:line="360" w:lineRule="auto"/>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采购包预算金额</w:t>
            </w:r>
          </w:p>
          <w:p w14:paraId="554CF3FF">
            <w:pPr>
              <w:keepNext w:val="0"/>
              <w:keepLines w:val="0"/>
              <w:suppressLineNumbers w:val="0"/>
              <w:adjustRightInd w:val="0"/>
              <w:snapToGrid w:val="0"/>
              <w:spacing w:before="0" w:beforeAutospacing="0" w:afterAutospacing="0" w:line="360" w:lineRule="auto"/>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514" w:type="dxa"/>
            <w:vAlign w:val="center"/>
          </w:tcPr>
          <w:p w14:paraId="263D9C2E">
            <w:pPr>
              <w:keepNext w:val="0"/>
              <w:keepLines w:val="0"/>
              <w:suppressLineNumbers w:val="0"/>
              <w:adjustRightInd w:val="0"/>
              <w:snapToGrid w:val="0"/>
              <w:spacing w:before="0" w:beforeAutospacing="0" w:afterAutospacing="0" w:line="360" w:lineRule="auto"/>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r>
      <w:tr w14:paraId="2852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95" w:type="dxa"/>
            <w:vAlign w:val="center"/>
          </w:tcPr>
          <w:p w14:paraId="102CC25A">
            <w:pPr>
              <w:keepNext w:val="0"/>
              <w:keepLines w:val="0"/>
              <w:suppressLineNumbers w:val="0"/>
              <w:adjustRightInd w:val="0"/>
              <w:snapToGrid w:val="0"/>
              <w:spacing w:before="0" w:beforeAutospacing="0" w:afterAutospacing="0" w:line="360" w:lineRule="auto"/>
              <w:ind w:left="0" w:right="0"/>
              <w:rPr>
                <w:rFonts w:hint="eastAsia" w:ascii="宋体" w:hAnsi="宋体" w:eastAsia="宋体" w:cs="宋体"/>
                <w:bCs/>
                <w:sz w:val="24"/>
                <w:szCs w:val="24"/>
                <w:highlight w:val="none"/>
              </w:rPr>
            </w:pPr>
            <w:r>
              <w:rPr>
                <w:rFonts w:hint="eastAsia"/>
                <w:bCs/>
                <w:szCs w:val="21"/>
                <w:highlight w:val="none"/>
              </w:rPr>
              <w:t>首都图书馆2026年互联网专线接入费及政务云服务采购项目</w:t>
            </w:r>
            <w:r>
              <w:rPr>
                <w:rFonts w:hint="eastAsia"/>
                <w:bCs/>
                <w:szCs w:val="21"/>
                <w:highlight w:val="none"/>
                <w:lang w:val="en-US" w:eastAsia="zh-CN"/>
              </w:rPr>
              <w:t>第七包政务云</w:t>
            </w:r>
          </w:p>
        </w:tc>
        <w:tc>
          <w:tcPr>
            <w:tcW w:w="2386" w:type="dxa"/>
          </w:tcPr>
          <w:p w14:paraId="2BF7468A">
            <w:pPr>
              <w:keepNext w:val="0"/>
              <w:keepLines w:val="0"/>
              <w:suppressLineNumbers w:val="0"/>
              <w:adjustRightInd w:val="0"/>
              <w:snapToGrid w:val="0"/>
              <w:spacing w:before="0" w:beforeAutospacing="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sz w:val="24"/>
                <w:szCs w:val="24"/>
                <w:highlight w:val="none"/>
              </w:rPr>
              <w:t>486.651148</w:t>
            </w:r>
          </w:p>
        </w:tc>
        <w:tc>
          <w:tcPr>
            <w:tcW w:w="1514" w:type="dxa"/>
            <w:vAlign w:val="center"/>
          </w:tcPr>
          <w:p w14:paraId="21827005">
            <w:pPr>
              <w:keepNext w:val="0"/>
              <w:keepLines w:val="0"/>
              <w:suppressLineNumbers w:val="0"/>
              <w:adjustRightInd w:val="0"/>
              <w:snapToGrid w:val="0"/>
              <w:spacing w:before="0" w:beforeAutospacing="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r>
    </w:tbl>
    <w:p w14:paraId="2F1142DB">
      <w:pPr>
        <w:snapToGrid w:val="0"/>
        <w:rPr>
          <w:rFonts w:hint="eastAsia" w:ascii="宋体" w:hAnsi="宋体" w:eastAsia="宋体" w:cs="宋体"/>
          <w:sz w:val="24"/>
          <w:szCs w:val="24"/>
          <w:highlight w:val="none"/>
        </w:rPr>
      </w:pPr>
      <w:bookmarkStart w:id="25" w:name="_Toc183097660"/>
    </w:p>
    <w:p w14:paraId="0E6DDE12">
      <w:pPr>
        <w:pStyle w:val="3"/>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二、规范性引用文件</w:t>
      </w:r>
      <w:bookmarkEnd w:id="25"/>
    </w:p>
    <w:p w14:paraId="172B9ED0">
      <w:pPr>
        <w:pStyle w:val="4"/>
        <w:numPr>
          <w:ilvl w:val="0"/>
          <w:numId w:val="9"/>
        </w:numPr>
        <w:tabs>
          <w:tab w:val="left" w:pos="360"/>
        </w:tabs>
        <w:spacing w:line="360" w:lineRule="auto"/>
        <w:ind w:left="0" w:leftChars="0" w:firstLine="0"/>
        <w:rPr>
          <w:rFonts w:hint="eastAsia" w:ascii="宋体" w:hAnsi="宋体" w:eastAsia="宋体" w:cs="宋体"/>
          <w:color w:val="auto"/>
          <w:sz w:val="24"/>
          <w:szCs w:val="24"/>
          <w:highlight w:val="none"/>
          <w:lang w:eastAsia="zh"/>
        </w:rPr>
      </w:pPr>
      <w:bookmarkStart w:id="26" w:name="_Toc183097661"/>
      <w:r>
        <w:rPr>
          <w:rFonts w:hint="eastAsia" w:ascii="宋体" w:hAnsi="宋体" w:eastAsia="宋体" w:cs="宋体"/>
          <w:color w:val="auto"/>
          <w:sz w:val="24"/>
          <w:szCs w:val="24"/>
          <w:highlight w:val="none"/>
          <w:lang w:eastAsia="zh"/>
        </w:rPr>
        <w:t>国家及北京市有关政策</w:t>
      </w:r>
      <w:bookmarkEnd w:id="26"/>
    </w:p>
    <w:p w14:paraId="5DC6B15F">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1.《关键信息基础设施安全保护条例》（中华人民共和国国务院令第745号）</w:t>
      </w:r>
    </w:p>
    <w:p w14:paraId="34A59F53">
      <w:pPr>
        <w:pStyle w:val="7"/>
        <w:snapToGrid w:val="0"/>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2.《国家政务信息化项目建设管理办法》（国办发〔2019〕57号）</w:t>
      </w:r>
    </w:p>
    <w:p w14:paraId="6B98DB5A">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《政府采购需求管理办法》(财库〔2021〕22号)</w:t>
      </w:r>
    </w:p>
    <w:p w14:paraId="30BF331C">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《关于促进政府采购公平竞争优化营商环境的通知》（财库〔2019〕38号）</w:t>
      </w:r>
    </w:p>
    <w:p w14:paraId="426945F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《关于进一步提高政府采购透明度和采购效率相关事项的通知》（财办库〔2023〕243号）</w:t>
      </w:r>
    </w:p>
    <w:p w14:paraId="3D4DE0AB">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6.《工业和信息化部信息通信管理局关于督促互联网网络接入服务企业依法持证经营的通知》（工信管函〔2018〕84号）</w:t>
      </w:r>
    </w:p>
    <w:p w14:paraId="0544236F">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7.《云计算服务安全评估办法》（国家互联网信息办公室、国家发展和改革委员会、工业和信息化部、财政部公告2019年2号）</w:t>
      </w:r>
    </w:p>
    <w:p w14:paraId="4E8E0344">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8.《关于加强党政部门云计算服务网络安全管理的意见》（中网办发文〔2014〕14号）</w:t>
      </w:r>
    </w:p>
    <w:p w14:paraId="38FA52C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9.《基于云计算的电子政务公共平台顶层设计指南》</w:t>
      </w:r>
    </w:p>
    <w:p w14:paraId="504412A7">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《北京市财政局关于落实好政府采购支持中小企业发展的通知（京财采购〔2022〕1143号）</w:t>
      </w:r>
    </w:p>
    <w:p w14:paraId="171DA270">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r>
        <w:rPr>
          <w:rFonts w:hint="eastAsia" w:ascii="宋体" w:hAnsi="宋体" w:eastAsia="宋体" w:cs="宋体"/>
          <w:sz w:val="24"/>
          <w:szCs w:val="24"/>
          <w:highlight w:val="none"/>
        </w:rPr>
        <w:t>《北京市财政局关于落实好政府采购支持中小企业发展的通知（京财采购〔2022〕1143号）</w:t>
      </w:r>
    </w:p>
    <w:p w14:paraId="0CC27B6F">
      <w:pPr>
        <w:pStyle w:val="7"/>
        <w:snapToGrid w:val="0"/>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r>
        <w:rPr>
          <w:rFonts w:hint="eastAsia" w:ascii="宋体" w:hAnsi="宋体" w:eastAsia="宋体" w:cs="宋体"/>
          <w:color w:val="000000"/>
          <w:sz w:val="24"/>
          <w:szCs w:val="24"/>
          <w:highlight w:val="none"/>
        </w:rPr>
        <w:t>《关于印发&lt;关于推进我市政务信息系统整合共享的实施方案&gt;的通知》（京经信委发〔2017〕89号）</w:t>
      </w:r>
    </w:p>
    <w:p w14:paraId="1E552299">
      <w:pPr>
        <w:pStyle w:val="7"/>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color w:val="000000"/>
          <w:sz w:val="24"/>
          <w:szCs w:val="24"/>
          <w:highlight w:val="none"/>
        </w:rPr>
        <w:t>《北京市人民政府关于印发&lt;北京市政务信息资源管理办法（试行）&gt;的通知》（京政发〔2017〕37号）</w:t>
      </w:r>
    </w:p>
    <w:p w14:paraId="7AA13D73">
      <w:pPr>
        <w:pStyle w:val="7"/>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color w:val="000000"/>
          <w:sz w:val="24"/>
          <w:szCs w:val="24"/>
          <w:highlight w:val="none"/>
        </w:rPr>
        <w:t>《关于印发&lt;北京市市级政务云管理办法&gt;的通知》（京经信函〔2019〕150号）</w:t>
      </w:r>
    </w:p>
    <w:p w14:paraId="6FF964B4">
      <w:pPr>
        <w:pStyle w:val="7"/>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15.《北京市政务网络和数据安全管理办法》（京经信发〔2023〕57号）</w:t>
      </w:r>
    </w:p>
    <w:p w14:paraId="0B27713D">
      <w:pPr>
        <w:pStyle w:val="7"/>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16.《北京市“十四五”时期智慧城市建设控制性规划要求（试行）》（京大数据发〔2021〕2号）</w:t>
      </w:r>
    </w:p>
    <w:p w14:paraId="6ED31357">
      <w:pPr>
        <w:pStyle w:val="4"/>
        <w:numPr>
          <w:ilvl w:val="0"/>
          <w:numId w:val="9"/>
        </w:numPr>
        <w:tabs>
          <w:tab w:val="left" w:pos="360"/>
        </w:tabs>
        <w:spacing w:line="360" w:lineRule="auto"/>
        <w:ind w:left="0" w:leftChars="0" w:firstLine="0"/>
        <w:rPr>
          <w:rFonts w:hint="eastAsia" w:ascii="宋体" w:hAnsi="宋体" w:eastAsia="宋体" w:cs="宋体"/>
          <w:sz w:val="24"/>
          <w:szCs w:val="24"/>
          <w:highlight w:val="none"/>
          <w:lang w:eastAsia="zh"/>
        </w:rPr>
      </w:pPr>
      <w:bookmarkStart w:id="27" w:name="_Toc183097662"/>
      <w:r>
        <w:rPr>
          <w:rFonts w:hint="eastAsia" w:ascii="宋体" w:hAnsi="宋体" w:eastAsia="宋体" w:cs="宋体"/>
          <w:sz w:val="24"/>
          <w:szCs w:val="24"/>
          <w:highlight w:val="none"/>
          <w:lang w:eastAsia="zh"/>
        </w:rPr>
        <w:t>国家相关标准</w:t>
      </w:r>
      <w:bookmarkEnd w:id="27"/>
    </w:p>
    <w:p w14:paraId="3C1B4DCB">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《国家电子政务外网安全接入平台技术规范》</w:t>
      </w:r>
    </w:p>
    <w:p w14:paraId="57D56C74">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《信息技术—云计算—云服务质量评价指标》（GB/T 37738-2019）</w:t>
      </w:r>
    </w:p>
    <w:p w14:paraId="7DA1AEA2">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《信息技术—云计算—云服务计量指标》（GB/T 37735-2019）</w:t>
      </w:r>
    </w:p>
    <w:p w14:paraId="67AAE22D">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《信息技术—云计算—云服务采购指南》（GB/T 37734-2019）</w:t>
      </w:r>
    </w:p>
    <w:p w14:paraId="14BED857">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《信息技术—云计算—云存储系统服务接口功能》（GB/T 37732-2019）</w:t>
      </w:r>
    </w:p>
    <w:p w14:paraId="24A4FA83">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《信息技术—云计算—云资源监控通用要求》（GB/T 37736-2019）</w:t>
      </w:r>
    </w:p>
    <w:p w14:paraId="546BBB8D">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《信息技术—云计算—云平台间应用和数据迁移指南》（GB/T 37740-2019）</w:t>
      </w:r>
    </w:p>
    <w:p w14:paraId="331B657A">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《信息技术—云计算—云服务交付要求》（GB/T 37741-2019）</w:t>
      </w:r>
    </w:p>
    <w:p w14:paraId="2750A74A">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《信息系统灾难恢复规范》（GB/T 20988-2007）</w:t>
      </w:r>
    </w:p>
    <w:p w14:paraId="0B20D28B">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 云计算服务安全能力要求》（GB/T 31168-2014）</w:t>
      </w:r>
    </w:p>
    <w:p w14:paraId="6224AF19">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 网络安全等级保护定级指南》（GB/T 22240-2020）</w:t>
      </w:r>
    </w:p>
    <w:p w14:paraId="09082D45">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 网络安全等级保护基本要求》（GB/T 22239-2019）</w:t>
      </w:r>
    </w:p>
    <w:p w14:paraId="4C5EE642">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 网络安全等级保护测评要求》（GB/T 28448-2019）</w:t>
      </w:r>
    </w:p>
    <w:p w14:paraId="62B42FCF">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《信息安全技术 信息系统密码应用基本要求》（GB/T39786-2021）</w:t>
      </w:r>
    </w:p>
    <w:p w14:paraId="14B409AD">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 信息安全风险评估方法》（GB/T 20984-2022）</w:t>
      </w:r>
    </w:p>
    <w:p w14:paraId="3D3DD099">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《信息安全技术 云计算服务安全指南》（GB/T 31167-2014）</w:t>
      </w:r>
    </w:p>
    <w:p w14:paraId="37C3C9BA">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《信息安全技术 政府网站云计算服务安全指南》（GB/T 38249—2019）</w:t>
      </w:r>
    </w:p>
    <w:p w14:paraId="4FBC05DD">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《信息安全技术 云计算安全参考架构》（GB/T 35279—2017）</w:t>
      </w:r>
    </w:p>
    <w:p w14:paraId="4E52D48B">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《信息安全技术 云计算服务安全能力评估方法》GB/T 34942—2017</w:t>
      </w:r>
    </w:p>
    <w:p w14:paraId="7A185473">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《信息安全技术 云计算服务运行监管框架》（GB/T 37972—2019）</w:t>
      </w:r>
    </w:p>
    <w:p w14:paraId="1A799E48">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《信息技术 云资源监控指标体系》（GB/T 37938-2019）</w:t>
      </w:r>
    </w:p>
    <w:p w14:paraId="377ADB88">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《电子信息系统机房设计规范》（GB50174-2017）</w:t>
      </w:r>
    </w:p>
    <w:p w14:paraId="6DB027B0">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《数据中心电信基础设施标准》（ANSI/TIA-942）</w:t>
      </w:r>
    </w:p>
    <w:p w14:paraId="375ACCF6">
      <w:pPr>
        <w:numPr>
          <w:ilvl w:val="0"/>
          <w:numId w:val="10"/>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《综合布线系统工程设计规范》（GB 50311—2016）</w:t>
      </w:r>
    </w:p>
    <w:p w14:paraId="10384A39">
      <w:pPr>
        <w:numPr>
          <w:ilvl w:val="0"/>
          <w:numId w:val="10"/>
        </w:numPr>
        <w:snapToGrid w:val="0"/>
        <w:spacing w:line="360" w:lineRule="auto"/>
        <w:ind w:left="0" w:firstLine="425"/>
        <w:rPr>
          <w:rFonts w:hint="eastAsia" w:ascii="宋体" w:hAnsi="宋体" w:eastAsia="宋体" w:cs="宋体"/>
          <w:sz w:val="24"/>
          <w:szCs w:val="24"/>
          <w:highlight w:val="none"/>
        </w:rPr>
      </w:pPr>
      <w:r>
        <w:rPr>
          <w:rFonts w:hint="eastAsia" w:ascii="宋体" w:hAnsi="宋体" w:eastAsia="宋体" w:cs="宋体"/>
          <w:bCs/>
          <w:sz w:val="24"/>
          <w:szCs w:val="24"/>
          <w:highlight w:val="none"/>
        </w:rPr>
        <w:t>《云计算关键领域安全指南V4.0》</w:t>
      </w:r>
    </w:p>
    <w:p w14:paraId="68AF5A4B">
      <w:pPr>
        <w:pStyle w:val="4"/>
        <w:numPr>
          <w:ilvl w:val="0"/>
          <w:numId w:val="9"/>
        </w:numPr>
        <w:tabs>
          <w:tab w:val="left" w:pos="360"/>
        </w:tabs>
        <w:spacing w:line="360" w:lineRule="auto"/>
        <w:ind w:left="0" w:leftChars="0" w:firstLine="0"/>
        <w:rPr>
          <w:rFonts w:hint="eastAsia" w:ascii="宋体" w:hAnsi="宋体" w:eastAsia="宋体" w:cs="宋体"/>
          <w:sz w:val="24"/>
          <w:szCs w:val="24"/>
          <w:highlight w:val="none"/>
          <w:lang w:eastAsia="zh"/>
        </w:rPr>
      </w:pPr>
      <w:bookmarkStart w:id="28" w:name="_Toc183097663"/>
      <w:r>
        <w:rPr>
          <w:rFonts w:hint="eastAsia" w:ascii="宋体" w:hAnsi="宋体" w:eastAsia="宋体" w:cs="宋体"/>
          <w:sz w:val="24"/>
          <w:szCs w:val="24"/>
          <w:highlight w:val="none"/>
          <w:lang w:eastAsia="zh"/>
        </w:rPr>
        <w:t>北京市相关标准</w:t>
      </w:r>
      <w:bookmarkEnd w:id="28"/>
    </w:p>
    <w:p w14:paraId="7AB6F249">
      <w:pPr>
        <w:pStyle w:val="7"/>
        <w:numPr>
          <w:ilvl w:val="0"/>
          <w:numId w:val="11"/>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《政务云平台建设技术要求》（DB11/T 2169-2023）</w:t>
      </w:r>
    </w:p>
    <w:p w14:paraId="4813190B">
      <w:pPr>
        <w:numPr>
          <w:ilvl w:val="0"/>
          <w:numId w:val="11"/>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《北京市政务云安全技术规范 </w:t>
      </w:r>
      <w:r>
        <w:rPr>
          <w:rFonts w:hint="eastAsia" w:ascii="宋体" w:hAnsi="宋体" w:eastAsia="宋体" w:cs="宋体"/>
          <w:sz w:val="24"/>
          <w:szCs w:val="24"/>
          <w:highlight w:val="none"/>
        </w:rPr>
        <w:t>IaaS云计算平台分册</w:t>
      </w:r>
      <w:r>
        <w:rPr>
          <w:rFonts w:hint="eastAsia" w:ascii="宋体" w:hAnsi="宋体" w:eastAsia="宋体" w:cs="宋体"/>
          <w:bCs/>
          <w:sz w:val="24"/>
          <w:szCs w:val="24"/>
          <w:highlight w:val="none"/>
        </w:rPr>
        <w:t>》</w:t>
      </w:r>
    </w:p>
    <w:p w14:paraId="3FBDCD60">
      <w:pPr>
        <w:numPr>
          <w:ilvl w:val="0"/>
          <w:numId w:val="11"/>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《北京市政务云安全技术规范 </w:t>
      </w:r>
      <w:r>
        <w:rPr>
          <w:rFonts w:hint="eastAsia" w:ascii="宋体" w:hAnsi="宋体" w:eastAsia="宋体" w:cs="宋体"/>
          <w:sz w:val="24"/>
          <w:szCs w:val="24"/>
          <w:highlight w:val="none"/>
        </w:rPr>
        <w:t>IaaS云计算平台安全监管接口分册</w:t>
      </w:r>
      <w:r>
        <w:rPr>
          <w:rFonts w:hint="eastAsia" w:ascii="宋体" w:hAnsi="宋体" w:eastAsia="宋体" w:cs="宋体"/>
          <w:bCs/>
          <w:sz w:val="24"/>
          <w:szCs w:val="24"/>
          <w:highlight w:val="none"/>
        </w:rPr>
        <w:t>》</w:t>
      </w:r>
    </w:p>
    <w:p w14:paraId="1BECA4AE">
      <w:pPr>
        <w:numPr>
          <w:ilvl w:val="0"/>
          <w:numId w:val="11"/>
        </w:numPr>
        <w:snapToGrid w:val="0"/>
        <w:spacing w:line="360" w:lineRule="auto"/>
        <w:ind w:left="0" w:firstLine="425"/>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《北京市政务云安全技术规范 </w:t>
      </w:r>
      <w:r>
        <w:rPr>
          <w:rFonts w:hint="eastAsia" w:ascii="宋体" w:hAnsi="宋体" w:eastAsia="宋体" w:cs="宋体"/>
          <w:sz w:val="24"/>
          <w:szCs w:val="24"/>
          <w:highlight w:val="none"/>
        </w:rPr>
        <w:t>信息安全服务接口分册</w:t>
      </w:r>
      <w:r>
        <w:rPr>
          <w:rFonts w:hint="eastAsia" w:ascii="宋体" w:hAnsi="宋体" w:eastAsia="宋体" w:cs="宋体"/>
          <w:bCs/>
          <w:sz w:val="24"/>
          <w:szCs w:val="24"/>
          <w:highlight w:val="none"/>
        </w:rPr>
        <w:t>》</w:t>
      </w:r>
    </w:p>
    <w:p w14:paraId="3B0FB811">
      <w:pPr>
        <w:pStyle w:val="8"/>
        <w:adjustRightInd w:val="0"/>
        <w:snapToGrid w:val="0"/>
        <w:spacing w:line="360" w:lineRule="auto"/>
        <w:ind w:left="42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注：服务标准涉及的国家标准及北京市标准有更新的，执行最新标准。</w:t>
      </w:r>
    </w:p>
    <w:p w14:paraId="448E4889">
      <w:pPr>
        <w:pStyle w:val="3"/>
        <w:spacing w:line="360" w:lineRule="auto"/>
        <w:jc w:val="left"/>
        <w:rPr>
          <w:rFonts w:hint="eastAsia" w:ascii="宋体" w:hAnsi="宋体" w:eastAsia="宋体" w:cs="宋体"/>
          <w:sz w:val="24"/>
          <w:szCs w:val="24"/>
          <w:highlight w:val="none"/>
        </w:rPr>
      </w:pPr>
      <w:bookmarkStart w:id="29" w:name="_Toc183097665"/>
      <w:r>
        <w:rPr>
          <w:rFonts w:hint="eastAsia" w:ascii="宋体" w:hAnsi="宋体" w:eastAsia="宋体" w:cs="宋体"/>
          <w:sz w:val="24"/>
          <w:szCs w:val="24"/>
          <w:highlight w:val="none"/>
        </w:rPr>
        <w:t>三、项目背景或概况</w:t>
      </w:r>
      <w:bookmarkEnd w:id="29"/>
    </w:p>
    <w:p w14:paraId="1D2607DD">
      <w:pPr>
        <w:pStyle w:val="15"/>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北京城市图书馆是北京市副中心新建三大建筑之一，北京城市图书馆致力于打造面向未来的新型公共图书馆，通过展示、体验、交流互动等方式，面向所有公众开展多层次、多维度的阅读服务。</w:t>
      </w:r>
      <w:r>
        <w:rPr>
          <w:rFonts w:hint="eastAsia" w:ascii="宋体" w:hAnsi="宋体" w:eastAsia="宋体" w:cs="宋体"/>
          <w:kern w:val="0"/>
          <w:sz w:val="24"/>
          <w:szCs w:val="24"/>
          <w:highlight w:val="none"/>
          <w:lang w:val="en-US" w:eastAsia="zh-CN" w:bidi="ar"/>
          <w14:ligatures w14:val="none"/>
        </w:rPr>
        <w:t>城市图书馆信息化工程，建设内容主要为 7 大业务应用系统、3个支撑中台建设。7大业务应用系统包括资源建设系统、读者服务系统、运营管理系统、分析决策系统、综合办公系统、虚拟图书馆系统、运维管理系统；3个支撑中台包括：数据中台、业务中台、AI 技术中台。本项目系统开发共包含 46 个子系统、1700余项功能。</w:t>
      </w:r>
    </w:p>
    <w:p w14:paraId="53F328C4">
      <w:pPr>
        <w:pStyle w:val="15"/>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依据《北京市市级政务云管理办法》（京经信函[2019]150号）、《北京市经济和信息化局关于加快政务云工作的函》、《关于进一步做好政务信息系统入云工作的函》的政策要求，按照文件要求为保障北京城市图书馆应用系统、读者服务、日常办公业务等数据计算的需求，本项目计划采购政务云相关资源以提供安全稳定高效的运行环境，通过配置各类安全防护和备份，解决业务系统可能存在的网络安全隐患，确保系统安全、稳定地运行，充分保证系统整体健壮性和可靠性。</w:t>
      </w:r>
    </w:p>
    <w:p w14:paraId="7E1F1D6C">
      <w:pPr>
        <w:pStyle w:val="4"/>
        <w:numPr>
          <w:ilvl w:val="-1"/>
          <w:numId w:val="0"/>
        </w:numPr>
        <w:spacing w:line="360" w:lineRule="auto"/>
        <w:rPr>
          <w:rFonts w:hint="eastAsia" w:ascii="宋体" w:hAnsi="宋体" w:eastAsia="宋体" w:cs="宋体"/>
          <w:color w:val="auto"/>
          <w:sz w:val="24"/>
          <w:szCs w:val="24"/>
          <w:highlight w:val="none"/>
          <w:lang w:eastAsia="zh"/>
        </w:rPr>
      </w:pPr>
      <w:bookmarkStart w:id="30" w:name="_Toc183097666"/>
      <w:r>
        <w:rPr>
          <w:rFonts w:hint="eastAsia" w:ascii="宋体" w:hAnsi="宋体" w:eastAsia="宋体" w:cs="宋体"/>
          <w:color w:val="auto"/>
          <w:sz w:val="24"/>
          <w:szCs w:val="24"/>
          <w:highlight w:val="none"/>
          <w:lang w:eastAsia="zh"/>
        </w:rPr>
        <w:t>四、商务要求</w:t>
      </w:r>
    </w:p>
    <w:p w14:paraId="55A2DC7C">
      <w:pPr>
        <w:pStyle w:val="5"/>
        <w:numPr>
          <w:ilvl w:val="-1"/>
          <w:numId w:val="0"/>
        </w:numPr>
        <w:tabs>
          <w:tab w:val="left" w:pos="360"/>
        </w:tabs>
        <w:ind w:left="0" w:firstLine="0"/>
        <w:rPr>
          <w:rFonts w:hint="eastAsia" w:ascii="宋体" w:hAnsi="宋体" w:eastAsia="宋体" w:cs="宋体"/>
          <w:bCs/>
          <w:sz w:val="24"/>
          <w:szCs w:val="24"/>
          <w:highlight w:val="none"/>
          <w:lang w:eastAsia="zh"/>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
        </w:rPr>
        <w:t>投标商资格要求</w:t>
      </w:r>
    </w:p>
    <w:p w14:paraId="3D363C6D">
      <w:pPr>
        <w:numPr>
          <w:ilvl w:val="0"/>
          <w:numId w:val="12"/>
        </w:numPr>
        <w:snapToGrid w:val="0"/>
        <w:spacing w:line="360" w:lineRule="auto"/>
        <w:ind w:left="0" w:firstLine="425"/>
        <w:rPr>
          <w:rFonts w:hint="eastAsia" w:ascii="宋体" w:hAnsi="宋体" w:eastAsia="宋体" w:cs="宋体"/>
          <w:bCs/>
          <w:sz w:val="24"/>
          <w:szCs w:val="24"/>
          <w:highlight w:val="none"/>
          <w:lang w:eastAsia="zh"/>
        </w:rPr>
      </w:pPr>
      <w:r>
        <w:rPr>
          <w:rFonts w:hint="eastAsia" w:ascii="宋体" w:hAnsi="宋体" w:eastAsia="宋体" w:cs="宋体"/>
          <w:bCs/>
          <w:sz w:val="24"/>
          <w:szCs w:val="24"/>
          <w:highlight w:val="none"/>
          <w:lang w:val="en-US" w:eastAsia="zh-CN"/>
        </w:rPr>
        <w:t>投标人须通过</w:t>
      </w:r>
      <w:r>
        <w:rPr>
          <w:rFonts w:hint="eastAsia" w:ascii="宋体" w:hAnsi="宋体" w:eastAsia="宋体" w:cs="宋体"/>
          <w:sz w:val="24"/>
          <w:szCs w:val="24"/>
          <w:highlight w:val="none"/>
          <w:lang w:val="en-US" w:eastAsia="zh-CN" w:bidi="ar"/>
        </w:rPr>
        <w:t>信息技术服务管理体系认证、信息安全管理体系认证与</w:t>
      </w:r>
      <w:r>
        <w:rPr>
          <w:rFonts w:hint="eastAsia" w:ascii="宋体" w:hAnsi="宋体" w:eastAsia="宋体" w:cs="宋体"/>
          <w:sz w:val="24"/>
          <w:szCs w:val="24"/>
          <w:highlight w:val="none"/>
          <w:lang w:bidi="ar"/>
        </w:rPr>
        <w:t>质量管理体系认证</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投标人</w:t>
      </w:r>
      <w:r>
        <w:rPr>
          <w:rFonts w:hint="eastAsia" w:ascii="宋体" w:hAnsi="宋体" w:eastAsia="宋体" w:cs="宋体"/>
          <w:sz w:val="24"/>
          <w:szCs w:val="24"/>
          <w:highlight w:val="none"/>
          <w:lang w:val="en-US" w:eastAsia="zh-CN" w:bidi="ar"/>
        </w:rPr>
        <w:t>提供服务</w:t>
      </w:r>
      <w:r>
        <w:rPr>
          <w:rFonts w:hint="eastAsia" w:ascii="宋体" w:hAnsi="宋体" w:eastAsia="宋体" w:cs="宋体"/>
          <w:sz w:val="24"/>
          <w:szCs w:val="24"/>
          <w:highlight w:val="none"/>
          <w:lang w:bidi="ar"/>
        </w:rPr>
        <w:t>的云平台，其网络安全等级保护定级为第3级，</w:t>
      </w:r>
      <w:r>
        <w:rPr>
          <w:rFonts w:hint="eastAsia" w:ascii="宋体" w:hAnsi="宋体" w:eastAsia="宋体" w:cs="宋体"/>
          <w:sz w:val="24"/>
          <w:szCs w:val="24"/>
          <w:highlight w:val="none"/>
          <w:lang w:val="en-US" w:eastAsia="zh-CN" w:bidi="ar"/>
        </w:rPr>
        <w:t>并于</w:t>
      </w:r>
      <w:r>
        <w:rPr>
          <w:rFonts w:hint="eastAsia" w:ascii="宋体" w:hAnsi="宋体" w:eastAsia="宋体" w:cs="宋体"/>
          <w:sz w:val="24"/>
          <w:szCs w:val="24"/>
          <w:highlight w:val="none"/>
          <w:lang w:bidi="ar"/>
        </w:rPr>
        <w:t>递交投标文件截止</w:t>
      </w:r>
      <w:r>
        <w:rPr>
          <w:rFonts w:hint="eastAsia" w:ascii="宋体" w:hAnsi="宋体" w:eastAsia="宋体" w:cs="宋体"/>
          <w:sz w:val="24"/>
          <w:szCs w:val="24"/>
          <w:highlight w:val="none"/>
          <w:lang w:val="en-US" w:eastAsia="zh-CN" w:bidi="ar"/>
        </w:rPr>
        <w:t>前一年内</w:t>
      </w:r>
      <w:r>
        <w:rPr>
          <w:rFonts w:hint="eastAsia" w:ascii="宋体" w:hAnsi="宋体" w:eastAsia="宋体" w:cs="宋体"/>
          <w:sz w:val="24"/>
          <w:szCs w:val="24"/>
          <w:highlight w:val="none"/>
          <w:lang w:bidi="ar"/>
        </w:rPr>
        <w:t>（以报告出具时间为准）完成了等级测评</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投标人提供服务的云平台通过了</w:t>
      </w:r>
      <w:r>
        <w:rPr>
          <w:rFonts w:hint="eastAsia" w:ascii="宋体" w:hAnsi="宋体" w:eastAsia="宋体" w:cs="宋体"/>
          <w:sz w:val="24"/>
          <w:szCs w:val="24"/>
          <w:highlight w:val="none"/>
          <w:lang w:bidi="ar"/>
        </w:rPr>
        <w:t>国家密码管理局指定的密评机构</w:t>
      </w:r>
      <w:r>
        <w:rPr>
          <w:rFonts w:hint="eastAsia" w:ascii="宋体" w:hAnsi="宋体" w:eastAsia="宋体" w:cs="宋体"/>
          <w:sz w:val="24"/>
          <w:szCs w:val="24"/>
          <w:highlight w:val="none"/>
          <w:lang w:val="en-US" w:eastAsia="zh-CN" w:bidi="ar"/>
        </w:rPr>
        <w:t>进行</w:t>
      </w:r>
      <w:r>
        <w:rPr>
          <w:rFonts w:hint="eastAsia" w:ascii="宋体" w:hAnsi="宋体" w:eastAsia="宋体" w:cs="宋体"/>
          <w:sz w:val="24"/>
          <w:szCs w:val="24"/>
          <w:highlight w:val="none"/>
          <w:lang w:bidi="ar"/>
        </w:rPr>
        <w:t>的云平台商业密码安全性评估，评估结果符合密评第三级信息系统要求</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投标人提供服务的云平台</w:t>
      </w:r>
      <w:r>
        <w:rPr>
          <w:rFonts w:hint="eastAsia" w:ascii="宋体" w:hAnsi="宋体" w:eastAsia="宋体" w:cs="宋体"/>
          <w:sz w:val="24"/>
          <w:szCs w:val="24"/>
          <w:highlight w:val="none"/>
          <w:lang w:bidi="ar"/>
        </w:rPr>
        <w:t>，通过中共中央网络安全和信息化委员会办公室/国家互联网信息办公室云计算服务安全评估</w:t>
      </w:r>
      <w:r>
        <w:rPr>
          <w:rFonts w:hint="eastAsia" w:ascii="宋体" w:hAnsi="宋体" w:eastAsia="宋体" w:cs="宋体"/>
          <w:bCs/>
          <w:sz w:val="24"/>
          <w:szCs w:val="24"/>
          <w:highlight w:val="none"/>
          <w:lang w:eastAsia="zh-CN"/>
        </w:rPr>
        <w:t>。</w:t>
      </w:r>
    </w:p>
    <w:p w14:paraId="4C4D611B">
      <w:pPr>
        <w:numPr>
          <w:ilvl w:val="0"/>
          <w:numId w:val="12"/>
        </w:numPr>
        <w:snapToGrid w:val="0"/>
        <w:spacing w:line="360" w:lineRule="auto"/>
        <w:ind w:left="0" w:firstLine="425"/>
        <w:rPr>
          <w:rFonts w:hint="eastAsia" w:ascii="宋体" w:hAnsi="宋体" w:eastAsia="宋体" w:cs="宋体"/>
          <w:bCs/>
          <w:sz w:val="24"/>
          <w:szCs w:val="24"/>
          <w:highlight w:val="none"/>
          <w:lang w:eastAsia="zh"/>
        </w:rPr>
      </w:pPr>
      <w:r>
        <w:rPr>
          <w:rFonts w:hint="eastAsia" w:ascii="宋体" w:hAnsi="宋体" w:eastAsia="宋体" w:cs="宋体"/>
          <w:bCs/>
          <w:sz w:val="24"/>
          <w:szCs w:val="24"/>
          <w:highlight w:val="none"/>
          <w:lang w:eastAsia="zh"/>
        </w:rPr>
        <w:t>投标人提供2023年1月1日（含）起至投标截止日，在全国范围内承担的政务云项目业绩证明材料。</w:t>
      </w:r>
      <w:r>
        <w:rPr>
          <w:rFonts w:hint="eastAsia" w:ascii="宋体" w:hAnsi="宋体" w:cs="宋体"/>
          <w:bCs/>
          <w:sz w:val="24"/>
          <w:szCs w:val="24"/>
          <w:highlight w:val="none"/>
          <w:lang w:val="en-US" w:eastAsia="zh-CN"/>
        </w:rPr>
        <w:t>业绩时间以合同签订时间为准。</w:t>
      </w:r>
    </w:p>
    <w:p w14:paraId="47408D1D">
      <w:pPr>
        <w:pStyle w:val="5"/>
        <w:numPr>
          <w:ilvl w:val="0"/>
          <w:numId w:val="13"/>
        </w:numPr>
        <w:tabs>
          <w:tab w:val="left" w:pos="360"/>
        </w:tabs>
        <w:spacing w:line="360" w:lineRule="auto"/>
        <w:ind w:left="0" w:leftChars="0" w:firstLine="0"/>
        <w:rPr>
          <w:rFonts w:hint="eastAsia" w:ascii="宋体" w:hAnsi="宋体" w:eastAsia="宋体" w:cs="宋体"/>
          <w:sz w:val="24"/>
          <w:szCs w:val="24"/>
          <w:highlight w:val="none"/>
          <w:lang w:eastAsia="zh"/>
        </w:rPr>
      </w:pPr>
      <w:r>
        <w:rPr>
          <w:rFonts w:hint="eastAsia" w:ascii="宋体" w:hAnsi="宋体" w:eastAsia="宋体" w:cs="宋体"/>
          <w:sz w:val="24"/>
          <w:szCs w:val="24"/>
          <w:highlight w:val="none"/>
          <w:lang w:eastAsia="zh"/>
        </w:rPr>
        <w:t>服务地点</w:t>
      </w:r>
    </w:p>
    <w:p w14:paraId="641CF59D">
      <w:pPr>
        <w:pStyle w:val="15"/>
        <w:spacing w:line="360" w:lineRule="auto"/>
        <w:ind w:left="178" w:leftChars="85"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北京市市级政务云机房。</w:t>
      </w:r>
    </w:p>
    <w:p w14:paraId="4A3DDCEF">
      <w:pPr>
        <w:pStyle w:val="5"/>
        <w:numPr>
          <w:ilvl w:val="0"/>
          <w:numId w:val="13"/>
        </w:numPr>
        <w:tabs>
          <w:tab w:val="left" w:pos="360"/>
        </w:tabs>
        <w:spacing w:line="360" w:lineRule="auto"/>
        <w:ind w:left="0" w:leftChars="0" w:firstLine="0"/>
        <w:rPr>
          <w:rFonts w:hint="eastAsia" w:ascii="宋体" w:hAnsi="宋体" w:eastAsia="宋体" w:cs="宋体"/>
          <w:sz w:val="24"/>
          <w:szCs w:val="24"/>
          <w:highlight w:val="none"/>
          <w:lang w:eastAsia="zh"/>
        </w:rPr>
      </w:pPr>
      <w:r>
        <w:rPr>
          <w:rFonts w:hint="eastAsia" w:ascii="宋体" w:hAnsi="宋体" w:eastAsia="宋体" w:cs="宋体"/>
          <w:sz w:val="24"/>
          <w:szCs w:val="24"/>
          <w:highlight w:val="none"/>
          <w:lang w:eastAsia="zh"/>
        </w:rPr>
        <w:t>服务期限</w:t>
      </w:r>
    </w:p>
    <w:p w14:paraId="52F95DE6">
      <w:pPr>
        <w:pStyle w:val="15"/>
        <w:spacing w:line="360" w:lineRule="auto"/>
        <w:ind w:left="178" w:leftChars="85"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一年</w:t>
      </w:r>
    </w:p>
    <w:p w14:paraId="5DFDDFDE">
      <w:pPr>
        <w:pStyle w:val="5"/>
        <w:numPr>
          <w:ilvl w:val="0"/>
          <w:numId w:val="13"/>
        </w:numPr>
        <w:tabs>
          <w:tab w:val="left" w:pos="360"/>
        </w:tabs>
        <w:spacing w:line="360" w:lineRule="auto"/>
        <w:ind w:left="0" w:leftChars="0" w:firstLine="0"/>
        <w:rPr>
          <w:rFonts w:hint="eastAsia" w:ascii="宋体" w:hAnsi="宋体" w:eastAsia="宋体" w:cs="宋体"/>
          <w:sz w:val="24"/>
          <w:szCs w:val="24"/>
          <w:highlight w:val="none"/>
          <w:lang w:eastAsia="zh"/>
        </w:rPr>
      </w:pPr>
      <w:r>
        <w:rPr>
          <w:rFonts w:hint="eastAsia" w:ascii="宋体" w:hAnsi="宋体" w:eastAsia="宋体" w:cs="宋体"/>
          <w:sz w:val="24"/>
          <w:szCs w:val="24"/>
          <w:highlight w:val="none"/>
          <w:lang w:eastAsia="zh"/>
        </w:rPr>
        <w:t>支付方式</w:t>
      </w:r>
    </w:p>
    <w:p w14:paraId="7E6E5260">
      <w:pPr>
        <w:numPr>
          <w:ilvl w:val="-1"/>
          <w:numId w:val="0"/>
        </w:numPr>
        <w:rPr>
          <w:rFonts w:hint="eastAsia" w:ascii="宋体" w:hAnsi="宋体" w:eastAsia="宋体" w:cs="宋体"/>
          <w:sz w:val="24"/>
          <w:szCs w:val="24"/>
          <w:highlight w:val="none"/>
          <w:lang w:eastAsia="zh"/>
        </w:rPr>
      </w:pPr>
      <w:r>
        <w:rPr>
          <w:rFonts w:hint="eastAsia" w:ascii="宋体" w:hAnsi="宋体" w:eastAsia="宋体" w:cs="宋体"/>
          <w:sz w:val="24"/>
          <w:szCs w:val="24"/>
          <w:highlight w:val="none"/>
          <w:lang w:eastAsia="zh"/>
        </w:rPr>
        <w:t>合同签订且</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
        </w:rPr>
        <w:t>支付履约保证金（若有）后，且项目财政资金到账后7个工作日内</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
        </w:rPr>
        <w:t>向</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
        </w:rPr>
        <w:t>支付第一笔款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
        </w:rPr>
        <w:t>即合同总价60%；</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lang w:eastAsia="zh"/>
        </w:rPr>
        <w:t>完成合同项下的服务，向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
        </w:rPr>
        <w:t>交付服务成果，经</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
        </w:rPr>
        <w:t>验收合格，运行一个月后无故障，且项目财政资金到账后一次性付清支付合同结算总价余款。</w:t>
      </w:r>
    </w:p>
    <w:p w14:paraId="31F6BA53">
      <w:pPr>
        <w:pStyle w:val="4"/>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
        </w:rPr>
        <w:t>五</w:t>
      </w:r>
      <w:r>
        <w:rPr>
          <w:rFonts w:hint="eastAsia" w:ascii="宋体" w:hAnsi="宋体" w:eastAsia="宋体" w:cs="宋体"/>
          <w:sz w:val="24"/>
          <w:szCs w:val="24"/>
          <w:highlight w:val="none"/>
        </w:rPr>
        <w:t>、技术参数要求</w:t>
      </w:r>
      <w:bookmarkEnd w:id="30"/>
    </w:p>
    <w:p w14:paraId="0F0A2CA9">
      <w:pPr>
        <w:pStyle w:val="5"/>
        <w:numPr>
          <w:ilvl w:val="0"/>
          <w:numId w:val="14"/>
        </w:numPr>
        <w:tabs>
          <w:tab w:val="left" w:pos="360"/>
        </w:tabs>
        <w:spacing w:line="360" w:lineRule="auto"/>
        <w:ind w:left="0" w:firstLine="0"/>
        <w:rPr>
          <w:rFonts w:hint="eastAsia" w:ascii="宋体" w:hAnsi="宋体" w:eastAsia="宋体" w:cs="宋体"/>
          <w:sz w:val="24"/>
          <w:szCs w:val="24"/>
          <w:highlight w:val="none"/>
        </w:rPr>
      </w:pPr>
      <w:bookmarkStart w:id="31" w:name="_Toc183097667"/>
      <w:r>
        <w:rPr>
          <w:rFonts w:hint="eastAsia" w:ascii="宋体" w:hAnsi="宋体" w:eastAsia="宋体" w:cs="宋体"/>
          <w:sz w:val="24"/>
          <w:szCs w:val="24"/>
          <w:highlight w:val="none"/>
        </w:rPr>
        <w:t>采购清单</w:t>
      </w:r>
      <w:bookmarkEnd w:id="31"/>
    </w:p>
    <w:tbl>
      <w:tblPr>
        <w:tblStyle w:val="9"/>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723"/>
      </w:tblGrid>
      <w:tr w14:paraId="2B44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Borders>
              <w:top w:val="single" w:color="auto" w:sz="4" w:space="0"/>
              <w:left w:val="single" w:color="auto" w:sz="4" w:space="0"/>
              <w:bottom w:val="single" w:color="auto" w:sz="4" w:space="0"/>
              <w:right w:val="single" w:color="auto" w:sz="4" w:space="0"/>
            </w:tcBorders>
            <w:vAlign w:val="center"/>
          </w:tcPr>
          <w:p w14:paraId="7CAD9686">
            <w:pPr>
              <w:keepNext w:val="0"/>
              <w:keepLines w:val="0"/>
              <w:suppressLineNumbers w:val="0"/>
              <w:spacing w:before="0" w:beforeAutospacing="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343" w:type="dxa"/>
            <w:tcBorders>
              <w:top w:val="single" w:color="auto" w:sz="4" w:space="0"/>
              <w:left w:val="single" w:color="auto" w:sz="4" w:space="0"/>
              <w:bottom w:val="single" w:color="auto" w:sz="4" w:space="0"/>
              <w:right w:val="single" w:color="auto" w:sz="4" w:space="0"/>
            </w:tcBorders>
            <w:vAlign w:val="center"/>
          </w:tcPr>
          <w:p w14:paraId="1AD183CF">
            <w:pPr>
              <w:keepNext w:val="0"/>
              <w:keepLines w:val="0"/>
              <w:suppressLineNumbers w:val="0"/>
              <w:spacing w:before="0" w:beforeAutospacing="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货物或服务名称</w:t>
            </w:r>
          </w:p>
        </w:tc>
        <w:tc>
          <w:tcPr>
            <w:tcW w:w="1701" w:type="dxa"/>
            <w:tcBorders>
              <w:top w:val="single" w:color="auto" w:sz="4" w:space="0"/>
              <w:left w:val="single" w:color="auto" w:sz="4" w:space="0"/>
              <w:bottom w:val="single" w:color="auto" w:sz="4" w:space="0"/>
              <w:right w:val="single" w:color="auto" w:sz="4" w:space="0"/>
            </w:tcBorders>
            <w:vAlign w:val="center"/>
          </w:tcPr>
          <w:p w14:paraId="423BA490">
            <w:pPr>
              <w:keepNext w:val="0"/>
              <w:keepLines w:val="0"/>
              <w:suppressLineNumbers w:val="0"/>
              <w:spacing w:before="0" w:beforeAutospacing="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473" w:type="dxa"/>
            <w:tcBorders>
              <w:top w:val="single" w:color="auto" w:sz="4" w:space="0"/>
              <w:left w:val="single" w:color="auto" w:sz="4" w:space="0"/>
              <w:bottom w:val="single" w:color="auto" w:sz="4" w:space="0"/>
              <w:right w:val="single" w:color="auto" w:sz="4" w:space="0"/>
            </w:tcBorders>
            <w:vAlign w:val="center"/>
          </w:tcPr>
          <w:p w14:paraId="0A84CA7D">
            <w:pPr>
              <w:keepNext w:val="0"/>
              <w:keepLines w:val="0"/>
              <w:suppressLineNumbers w:val="0"/>
              <w:spacing w:before="0" w:beforeAutospacing="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1723" w:type="dxa"/>
            <w:tcBorders>
              <w:top w:val="single" w:color="auto" w:sz="4" w:space="0"/>
              <w:left w:val="single" w:color="auto" w:sz="4" w:space="0"/>
              <w:bottom w:val="single" w:color="auto" w:sz="4" w:space="0"/>
              <w:right w:val="single" w:color="auto" w:sz="4" w:space="0"/>
            </w:tcBorders>
            <w:vAlign w:val="center"/>
          </w:tcPr>
          <w:p w14:paraId="00EA65FB">
            <w:pPr>
              <w:keepNext w:val="0"/>
              <w:keepLines w:val="0"/>
              <w:suppressLineNumbers w:val="0"/>
              <w:spacing w:before="0" w:beforeAutospacing="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p w14:paraId="0F6FE1B4">
            <w:pPr>
              <w:keepNext w:val="0"/>
              <w:keepLines w:val="0"/>
              <w:suppressLineNumbers w:val="0"/>
              <w:spacing w:before="0" w:beforeAutospacing="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（采购资金）单位：万元</w:t>
            </w:r>
          </w:p>
        </w:tc>
      </w:tr>
      <w:tr w14:paraId="41E3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Borders>
              <w:top w:val="single" w:color="auto" w:sz="4" w:space="0"/>
              <w:left w:val="single" w:color="auto" w:sz="4" w:space="0"/>
              <w:bottom w:val="single" w:color="auto" w:sz="4" w:space="0"/>
              <w:right w:val="single" w:color="auto" w:sz="4" w:space="0"/>
            </w:tcBorders>
            <w:vAlign w:val="center"/>
          </w:tcPr>
          <w:p w14:paraId="4C117718">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43" w:type="dxa"/>
            <w:tcBorders>
              <w:top w:val="single" w:color="auto" w:sz="4" w:space="0"/>
              <w:left w:val="single" w:color="auto" w:sz="4" w:space="0"/>
              <w:bottom w:val="single" w:color="auto" w:sz="4" w:space="0"/>
              <w:right w:val="single" w:color="auto" w:sz="4" w:space="0"/>
            </w:tcBorders>
          </w:tcPr>
          <w:p w14:paraId="5B1E6A82">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政务云基础服务</w:t>
            </w:r>
          </w:p>
        </w:tc>
        <w:tc>
          <w:tcPr>
            <w:tcW w:w="1701" w:type="dxa"/>
            <w:tcBorders>
              <w:top w:val="single" w:color="auto" w:sz="4" w:space="0"/>
              <w:left w:val="single" w:color="auto" w:sz="4" w:space="0"/>
              <w:bottom w:val="single" w:color="auto" w:sz="4" w:space="0"/>
              <w:right w:val="single" w:color="auto" w:sz="4" w:space="0"/>
            </w:tcBorders>
          </w:tcPr>
          <w:p w14:paraId="121E253E">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tcBorders>
              <w:top w:val="single" w:color="auto" w:sz="4" w:space="0"/>
              <w:left w:val="single" w:color="auto" w:sz="4" w:space="0"/>
              <w:bottom w:val="single" w:color="auto" w:sz="4" w:space="0"/>
              <w:right w:val="single" w:color="auto" w:sz="4" w:space="0"/>
            </w:tcBorders>
          </w:tcPr>
          <w:p w14:paraId="13F994F5">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1723" w:type="dxa"/>
            <w:tcBorders>
              <w:top w:val="single" w:color="auto" w:sz="4" w:space="0"/>
              <w:left w:val="single" w:color="auto" w:sz="4" w:space="0"/>
              <w:bottom w:val="single" w:color="auto" w:sz="4" w:space="0"/>
              <w:right w:val="single" w:color="auto" w:sz="4" w:space="0"/>
            </w:tcBorders>
          </w:tcPr>
          <w:p w14:paraId="57E14FDF">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434.651148</w:t>
            </w:r>
          </w:p>
        </w:tc>
      </w:tr>
      <w:tr w14:paraId="28C0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Borders>
              <w:top w:val="single" w:color="auto" w:sz="4" w:space="0"/>
              <w:left w:val="single" w:color="auto" w:sz="4" w:space="0"/>
              <w:bottom w:val="single" w:color="auto" w:sz="4" w:space="0"/>
              <w:right w:val="single" w:color="auto" w:sz="4" w:space="0"/>
            </w:tcBorders>
            <w:vAlign w:val="center"/>
          </w:tcPr>
          <w:p w14:paraId="46089983">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43" w:type="dxa"/>
            <w:tcBorders>
              <w:top w:val="single" w:color="auto" w:sz="4" w:space="0"/>
              <w:left w:val="single" w:color="auto" w:sz="4" w:space="0"/>
              <w:bottom w:val="single" w:color="auto" w:sz="4" w:space="0"/>
              <w:right w:val="single" w:color="auto" w:sz="4" w:space="0"/>
            </w:tcBorders>
          </w:tcPr>
          <w:p w14:paraId="52B001AE">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政务云扩展服务</w:t>
            </w:r>
          </w:p>
        </w:tc>
        <w:tc>
          <w:tcPr>
            <w:tcW w:w="1701" w:type="dxa"/>
            <w:tcBorders>
              <w:top w:val="single" w:color="auto" w:sz="4" w:space="0"/>
              <w:left w:val="single" w:color="auto" w:sz="4" w:space="0"/>
              <w:bottom w:val="single" w:color="auto" w:sz="4" w:space="0"/>
              <w:right w:val="single" w:color="auto" w:sz="4" w:space="0"/>
            </w:tcBorders>
          </w:tcPr>
          <w:p w14:paraId="0A21E2EF">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73" w:type="dxa"/>
            <w:tcBorders>
              <w:top w:val="single" w:color="auto" w:sz="4" w:space="0"/>
              <w:left w:val="single" w:color="auto" w:sz="4" w:space="0"/>
              <w:bottom w:val="single" w:color="auto" w:sz="4" w:space="0"/>
              <w:right w:val="single" w:color="auto" w:sz="4" w:space="0"/>
            </w:tcBorders>
          </w:tcPr>
          <w:p w14:paraId="70A57D2C">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1723" w:type="dxa"/>
            <w:tcBorders>
              <w:top w:val="single" w:color="auto" w:sz="4" w:space="0"/>
              <w:left w:val="single" w:color="auto" w:sz="4" w:space="0"/>
              <w:bottom w:val="single" w:color="auto" w:sz="4" w:space="0"/>
              <w:right w:val="single" w:color="auto" w:sz="4" w:space="0"/>
            </w:tcBorders>
          </w:tcPr>
          <w:p w14:paraId="267CA3CD">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52</w:t>
            </w:r>
          </w:p>
        </w:tc>
      </w:tr>
      <w:tr w14:paraId="22DE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Borders>
              <w:top w:val="single" w:color="auto" w:sz="4" w:space="0"/>
              <w:left w:val="single" w:color="auto" w:sz="4" w:space="0"/>
              <w:bottom w:val="single" w:color="auto" w:sz="4" w:space="0"/>
              <w:right w:val="single" w:color="auto" w:sz="4" w:space="0"/>
            </w:tcBorders>
            <w:vAlign w:val="center"/>
          </w:tcPr>
          <w:p w14:paraId="71F8801A">
            <w:pPr>
              <w:keepNext w:val="0"/>
              <w:keepLines w:val="0"/>
              <w:suppressLineNumbers w:val="0"/>
              <w:spacing w:before="0" w:beforeAutospacing="0" w:afterAutospacing="0" w:line="360" w:lineRule="auto"/>
              <w:ind w:left="0" w:righ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2343" w:type="dxa"/>
            <w:tcBorders>
              <w:top w:val="single" w:color="auto" w:sz="4" w:space="0"/>
              <w:left w:val="single" w:color="auto" w:sz="4" w:space="0"/>
              <w:bottom w:val="single" w:color="auto" w:sz="4" w:space="0"/>
              <w:right w:val="single" w:color="auto" w:sz="4" w:space="0"/>
            </w:tcBorders>
          </w:tcPr>
          <w:p w14:paraId="1AB97536">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74FE23E">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p>
        </w:tc>
        <w:tc>
          <w:tcPr>
            <w:tcW w:w="1473" w:type="dxa"/>
            <w:tcBorders>
              <w:top w:val="single" w:color="auto" w:sz="4" w:space="0"/>
              <w:left w:val="single" w:color="auto" w:sz="4" w:space="0"/>
              <w:bottom w:val="single" w:color="auto" w:sz="4" w:space="0"/>
              <w:right w:val="single" w:color="auto" w:sz="4" w:space="0"/>
            </w:tcBorders>
          </w:tcPr>
          <w:p w14:paraId="5A4F97DA">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519CECC6">
            <w:pPr>
              <w:keepNext w:val="0"/>
              <w:keepLines w:val="0"/>
              <w:suppressLineNumbers w:val="0"/>
              <w:spacing w:before="0" w:beforeAutospacing="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486.651148</w:t>
            </w:r>
          </w:p>
        </w:tc>
      </w:tr>
    </w:tbl>
    <w:p w14:paraId="527A4EA4">
      <w:pPr>
        <w:spacing w:line="360" w:lineRule="auto"/>
        <w:rPr>
          <w:rFonts w:hint="eastAsia" w:ascii="宋体" w:hAnsi="宋体" w:eastAsia="宋体" w:cs="宋体"/>
          <w:sz w:val="24"/>
          <w:szCs w:val="24"/>
          <w:highlight w:val="none"/>
        </w:rPr>
      </w:pPr>
    </w:p>
    <w:p w14:paraId="6593E275">
      <w:pPr>
        <w:pStyle w:val="5"/>
        <w:numPr>
          <w:ilvl w:val="0"/>
          <w:numId w:val="14"/>
        </w:numPr>
        <w:tabs>
          <w:tab w:val="left" w:pos="360"/>
        </w:tabs>
        <w:spacing w:line="360" w:lineRule="auto"/>
        <w:ind w:left="0" w:firstLine="0"/>
        <w:rPr>
          <w:rFonts w:hint="eastAsia" w:ascii="宋体" w:hAnsi="宋体" w:eastAsia="宋体" w:cs="宋体"/>
          <w:sz w:val="24"/>
          <w:szCs w:val="24"/>
          <w:highlight w:val="none"/>
        </w:rPr>
      </w:pPr>
      <w:bookmarkStart w:id="32" w:name="_Toc183097668"/>
      <w:r>
        <w:rPr>
          <w:rFonts w:hint="eastAsia" w:ascii="宋体" w:hAnsi="宋体" w:eastAsia="宋体" w:cs="宋体"/>
          <w:sz w:val="24"/>
          <w:szCs w:val="24"/>
          <w:highlight w:val="none"/>
        </w:rPr>
        <w:t>服务清单</w:t>
      </w:r>
      <w:bookmarkEnd w:id="32"/>
    </w:p>
    <w:p w14:paraId="5D9FAB11">
      <w:pPr>
        <w:spacing w:line="360" w:lineRule="auto"/>
        <w:rPr>
          <w:rFonts w:hint="eastAsia" w:ascii="宋体" w:hAnsi="宋体" w:eastAsia="宋体" w:cs="宋体"/>
          <w:sz w:val="24"/>
          <w:szCs w:val="24"/>
          <w:highlight w:val="none"/>
        </w:rPr>
      </w:pPr>
    </w:p>
    <w:tbl>
      <w:tblPr>
        <w:tblStyle w:val="9"/>
        <w:tblW w:w="8701" w:type="dxa"/>
        <w:tblInd w:w="0" w:type="dxa"/>
        <w:tblLayout w:type="fixed"/>
        <w:tblCellMar>
          <w:top w:w="0" w:type="dxa"/>
          <w:left w:w="108" w:type="dxa"/>
          <w:bottom w:w="0" w:type="dxa"/>
          <w:right w:w="108" w:type="dxa"/>
        </w:tblCellMar>
      </w:tblPr>
      <w:tblGrid>
        <w:gridCol w:w="1555"/>
        <w:gridCol w:w="3260"/>
        <w:gridCol w:w="1134"/>
        <w:gridCol w:w="850"/>
        <w:gridCol w:w="1023"/>
        <w:gridCol w:w="879"/>
      </w:tblGrid>
      <w:tr w14:paraId="2C76089E">
        <w:tblPrEx>
          <w:tblCellMar>
            <w:top w:w="0" w:type="dxa"/>
            <w:left w:w="108" w:type="dxa"/>
            <w:bottom w:w="0" w:type="dxa"/>
            <w:right w:w="108" w:type="dxa"/>
          </w:tblCellMar>
        </w:tblPrEx>
        <w:trPr>
          <w:trHeight w:val="31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2AC59A13">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bidi="ar"/>
              </w:rPr>
              <w:t>服务子类</w:t>
            </w:r>
          </w:p>
        </w:tc>
        <w:tc>
          <w:tcPr>
            <w:tcW w:w="3260" w:type="dxa"/>
            <w:tcBorders>
              <w:top w:val="single" w:color="000000" w:sz="4" w:space="0"/>
              <w:left w:val="single" w:color="000000" w:sz="4" w:space="0"/>
              <w:bottom w:val="single" w:color="000000" w:sz="4" w:space="0"/>
              <w:right w:val="single" w:color="000000" w:sz="4" w:space="0"/>
            </w:tcBorders>
            <w:vAlign w:val="center"/>
          </w:tcPr>
          <w:p w14:paraId="3F1B78CE">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bidi="ar"/>
              </w:rPr>
              <w:t>服务项</w:t>
            </w:r>
          </w:p>
        </w:tc>
        <w:tc>
          <w:tcPr>
            <w:tcW w:w="1134" w:type="dxa"/>
            <w:tcBorders>
              <w:top w:val="single" w:color="000000" w:sz="4" w:space="0"/>
              <w:left w:val="single" w:color="000000" w:sz="4" w:space="0"/>
              <w:bottom w:val="single" w:color="000000" w:sz="4" w:space="0"/>
              <w:right w:val="single" w:color="000000" w:sz="4" w:space="0"/>
            </w:tcBorders>
            <w:vAlign w:val="center"/>
          </w:tcPr>
          <w:p w14:paraId="1BA79824">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bidi="ar"/>
              </w:rPr>
              <w:t>计价单位</w:t>
            </w:r>
          </w:p>
        </w:tc>
        <w:tc>
          <w:tcPr>
            <w:tcW w:w="850" w:type="dxa"/>
            <w:tcBorders>
              <w:top w:val="single" w:color="000000" w:sz="4" w:space="0"/>
              <w:left w:val="single" w:color="000000" w:sz="4" w:space="0"/>
              <w:bottom w:val="single" w:color="000000" w:sz="4" w:space="0"/>
              <w:right w:val="single" w:color="000000" w:sz="4" w:space="0"/>
            </w:tcBorders>
            <w:vAlign w:val="center"/>
          </w:tcPr>
          <w:p w14:paraId="20901D01">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bidi="ar"/>
              </w:rPr>
              <w:t>报价单位</w:t>
            </w:r>
          </w:p>
        </w:tc>
        <w:tc>
          <w:tcPr>
            <w:tcW w:w="1023" w:type="dxa"/>
            <w:tcBorders>
              <w:top w:val="single" w:color="000000" w:sz="4" w:space="0"/>
              <w:left w:val="single" w:color="000000" w:sz="4" w:space="0"/>
              <w:bottom w:val="single" w:color="000000" w:sz="4" w:space="0"/>
              <w:right w:val="single" w:color="000000" w:sz="4" w:space="0"/>
            </w:tcBorders>
            <w:vAlign w:val="center"/>
          </w:tcPr>
          <w:p w14:paraId="6ABE3D82">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bidi="ar"/>
              </w:rPr>
              <w:t>数量</w:t>
            </w:r>
          </w:p>
        </w:tc>
        <w:tc>
          <w:tcPr>
            <w:tcW w:w="879" w:type="dxa"/>
            <w:tcBorders>
              <w:top w:val="single" w:color="000000" w:sz="4" w:space="0"/>
              <w:left w:val="single" w:color="000000" w:sz="4" w:space="0"/>
              <w:bottom w:val="single" w:color="000000" w:sz="4" w:space="0"/>
              <w:right w:val="single" w:color="000000" w:sz="4" w:space="0"/>
            </w:tcBorders>
            <w:vAlign w:val="center"/>
          </w:tcPr>
          <w:p w14:paraId="4B8B0C54">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bidi="ar"/>
              </w:rPr>
              <w:t>服务期（月）</w:t>
            </w:r>
          </w:p>
        </w:tc>
      </w:tr>
      <w:tr w14:paraId="74353FBD">
        <w:tblPrEx>
          <w:tblCellMar>
            <w:top w:w="0" w:type="dxa"/>
            <w:left w:w="108" w:type="dxa"/>
            <w:bottom w:w="0" w:type="dxa"/>
            <w:right w:w="108" w:type="dxa"/>
          </w:tblCellMar>
        </w:tblPrEx>
        <w:trPr>
          <w:trHeight w:val="310" w:hRule="atLeast"/>
        </w:trPr>
        <w:tc>
          <w:tcPr>
            <w:tcW w:w="8701" w:type="dxa"/>
            <w:gridSpan w:val="6"/>
            <w:tcBorders>
              <w:top w:val="single" w:color="000000" w:sz="4" w:space="0"/>
              <w:left w:val="single" w:color="000000" w:sz="4" w:space="0"/>
              <w:bottom w:val="single" w:color="000000" w:sz="4" w:space="0"/>
              <w:right w:val="single" w:color="000000" w:sz="4" w:space="0"/>
            </w:tcBorders>
            <w:vAlign w:val="center"/>
          </w:tcPr>
          <w:p w14:paraId="33A03B25">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lang w:bidi="ar"/>
              </w:rPr>
            </w:pPr>
            <w:r>
              <w:rPr>
                <w:rFonts w:hint="eastAsia" w:ascii="宋体" w:hAnsi="宋体" w:eastAsia="宋体" w:cs="宋体"/>
                <w:b/>
                <w:bCs/>
                <w:color w:val="000000"/>
                <w:sz w:val="24"/>
                <w:szCs w:val="24"/>
                <w:highlight w:val="none"/>
                <w:lang w:bidi="ar"/>
              </w:rPr>
              <w:t>基础服务</w:t>
            </w:r>
          </w:p>
        </w:tc>
      </w:tr>
      <w:tr w14:paraId="27B0D95A">
        <w:tblPrEx>
          <w:tblCellMar>
            <w:top w:w="0" w:type="dxa"/>
            <w:left w:w="108" w:type="dxa"/>
            <w:bottom w:w="0" w:type="dxa"/>
            <w:right w:w="108" w:type="dxa"/>
          </w:tblCellMar>
        </w:tblPrEx>
        <w:trPr>
          <w:trHeight w:val="840" w:hRule="atLeast"/>
        </w:trPr>
        <w:tc>
          <w:tcPr>
            <w:tcW w:w="1555" w:type="dxa"/>
            <w:tcBorders>
              <w:top w:val="single" w:color="auto" w:sz="4" w:space="0"/>
              <w:left w:val="single" w:color="auto" w:sz="4" w:space="0"/>
              <w:bottom w:val="single" w:color="auto" w:sz="4" w:space="0"/>
              <w:right w:val="single" w:color="auto" w:sz="4" w:space="0"/>
            </w:tcBorders>
            <w:vAlign w:val="center"/>
          </w:tcPr>
          <w:p w14:paraId="23F3BAA2">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云主机服务</w:t>
            </w:r>
          </w:p>
        </w:tc>
        <w:tc>
          <w:tcPr>
            <w:tcW w:w="3260" w:type="dxa"/>
            <w:tcBorders>
              <w:top w:val="single" w:color="000000" w:sz="4" w:space="0"/>
              <w:left w:val="single" w:color="auto" w:sz="4" w:space="0"/>
              <w:bottom w:val="single" w:color="000000" w:sz="4" w:space="0"/>
              <w:right w:val="single" w:color="000000" w:sz="4" w:space="0"/>
            </w:tcBorders>
            <w:vAlign w:val="center"/>
          </w:tcPr>
          <w:p w14:paraId="4064B99D">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vCPU（主频不低于2.4GHz）</w:t>
            </w:r>
          </w:p>
        </w:tc>
        <w:tc>
          <w:tcPr>
            <w:tcW w:w="1134" w:type="dxa"/>
            <w:tcBorders>
              <w:top w:val="single" w:color="000000" w:sz="4" w:space="0"/>
              <w:left w:val="single" w:color="000000" w:sz="4" w:space="0"/>
              <w:bottom w:val="single" w:color="000000" w:sz="4" w:space="0"/>
              <w:right w:val="single" w:color="000000" w:sz="4" w:space="0"/>
            </w:tcBorders>
            <w:vAlign w:val="center"/>
          </w:tcPr>
          <w:p w14:paraId="3052D8B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1CPU</w:t>
            </w:r>
          </w:p>
        </w:tc>
        <w:tc>
          <w:tcPr>
            <w:tcW w:w="850" w:type="dxa"/>
            <w:tcBorders>
              <w:top w:val="single" w:color="000000" w:sz="4" w:space="0"/>
              <w:left w:val="single" w:color="000000" w:sz="4" w:space="0"/>
              <w:bottom w:val="single" w:color="000000" w:sz="4" w:space="0"/>
              <w:right w:val="single" w:color="000000" w:sz="4" w:space="0"/>
            </w:tcBorders>
            <w:vAlign w:val="center"/>
          </w:tcPr>
          <w:p w14:paraId="6A7F2105">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15C626CB">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1625</w:t>
            </w:r>
          </w:p>
        </w:tc>
        <w:tc>
          <w:tcPr>
            <w:tcW w:w="879" w:type="dxa"/>
            <w:tcBorders>
              <w:top w:val="single" w:color="000000" w:sz="4" w:space="0"/>
              <w:left w:val="single" w:color="000000" w:sz="4" w:space="0"/>
              <w:bottom w:val="single" w:color="000000" w:sz="4" w:space="0"/>
              <w:right w:val="single" w:color="000000" w:sz="4" w:space="0"/>
            </w:tcBorders>
            <w:vAlign w:val="center"/>
          </w:tcPr>
          <w:p w14:paraId="6BC4B4CB">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6EC84A04">
        <w:tblPrEx>
          <w:tblCellMar>
            <w:top w:w="0" w:type="dxa"/>
            <w:left w:w="108" w:type="dxa"/>
            <w:bottom w:w="0" w:type="dxa"/>
            <w:right w:w="108" w:type="dxa"/>
          </w:tblCellMar>
        </w:tblPrEx>
        <w:trPr>
          <w:trHeight w:val="483" w:hRule="atLeast"/>
        </w:trPr>
        <w:tc>
          <w:tcPr>
            <w:tcW w:w="1555" w:type="dxa"/>
            <w:tcBorders>
              <w:top w:val="single" w:color="auto" w:sz="4" w:space="0"/>
              <w:left w:val="single" w:color="auto" w:sz="4" w:space="0"/>
              <w:bottom w:val="single" w:color="auto" w:sz="4" w:space="0"/>
              <w:right w:val="single" w:color="auto" w:sz="4" w:space="0"/>
            </w:tcBorders>
            <w:vAlign w:val="center"/>
          </w:tcPr>
          <w:p w14:paraId="01F90E2D">
            <w:pPr>
              <w:keepNext w:val="0"/>
              <w:keepLines w:val="0"/>
              <w:suppressLineNumbers w:val="0"/>
              <w:spacing w:before="0" w:beforeAutospacing="0" w:afterAutospacing="0"/>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云主机服务</w:t>
            </w:r>
          </w:p>
        </w:tc>
        <w:tc>
          <w:tcPr>
            <w:tcW w:w="3260" w:type="dxa"/>
            <w:tcBorders>
              <w:top w:val="single" w:color="000000" w:sz="4" w:space="0"/>
              <w:left w:val="single" w:color="auto" w:sz="4" w:space="0"/>
              <w:bottom w:val="single" w:color="auto" w:sz="4" w:space="0"/>
              <w:right w:val="single" w:color="000000" w:sz="4" w:space="0"/>
            </w:tcBorders>
            <w:vAlign w:val="center"/>
          </w:tcPr>
          <w:p w14:paraId="6F97AAEF">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内存</w:t>
            </w:r>
          </w:p>
        </w:tc>
        <w:tc>
          <w:tcPr>
            <w:tcW w:w="1134" w:type="dxa"/>
            <w:tcBorders>
              <w:top w:val="single" w:color="000000" w:sz="4" w:space="0"/>
              <w:left w:val="single" w:color="000000" w:sz="4" w:space="0"/>
              <w:bottom w:val="single" w:color="auto" w:sz="4" w:space="0"/>
              <w:right w:val="single" w:color="000000" w:sz="4" w:space="0"/>
            </w:tcBorders>
            <w:vAlign w:val="center"/>
          </w:tcPr>
          <w:p w14:paraId="72EAABAB">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1GB</w:t>
            </w:r>
          </w:p>
        </w:tc>
        <w:tc>
          <w:tcPr>
            <w:tcW w:w="850" w:type="dxa"/>
            <w:tcBorders>
              <w:top w:val="single" w:color="000000" w:sz="4" w:space="0"/>
              <w:left w:val="single" w:color="000000" w:sz="4" w:space="0"/>
              <w:bottom w:val="single" w:color="auto" w:sz="4" w:space="0"/>
              <w:right w:val="single" w:color="000000" w:sz="4" w:space="0"/>
            </w:tcBorders>
            <w:vAlign w:val="center"/>
          </w:tcPr>
          <w:p w14:paraId="3F447B65">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auto" w:sz="4" w:space="0"/>
              <w:right w:val="single" w:color="000000" w:sz="4" w:space="0"/>
            </w:tcBorders>
            <w:vAlign w:val="center"/>
          </w:tcPr>
          <w:p w14:paraId="2E842C9E">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5370</w:t>
            </w:r>
          </w:p>
        </w:tc>
        <w:tc>
          <w:tcPr>
            <w:tcW w:w="879" w:type="dxa"/>
            <w:tcBorders>
              <w:top w:val="single" w:color="000000" w:sz="4" w:space="0"/>
              <w:left w:val="single" w:color="000000" w:sz="4" w:space="0"/>
              <w:bottom w:val="single" w:color="auto" w:sz="4" w:space="0"/>
              <w:right w:val="single" w:color="000000" w:sz="4" w:space="0"/>
            </w:tcBorders>
            <w:vAlign w:val="center"/>
          </w:tcPr>
          <w:p w14:paraId="22125255">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28CC115B">
        <w:tblPrEx>
          <w:tblCellMar>
            <w:top w:w="0" w:type="dxa"/>
            <w:left w:w="108" w:type="dxa"/>
            <w:bottom w:w="0" w:type="dxa"/>
            <w:right w:w="108" w:type="dxa"/>
          </w:tblCellMar>
        </w:tblPrEx>
        <w:trPr>
          <w:trHeight w:val="1060" w:hRule="atLeast"/>
        </w:trPr>
        <w:tc>
          <w:tcPr>
            <w:tcW w:w="1555" w:type="dxa"/>
            <w:tcBorders>
              <w:top w:val="single" w:color="auto" w:sz="4" w:space="0"/>
              <w:left w:val="single" w:color="000000" w:sz="4" w:space="0"/>
              <w:bottom w:val="single" w:color="000000" w:sz="4" w:space="0"/>
              <w:right w:val="single" w:color="000000" w:sz="4" w:space="0"/>
            </w:tcBorders>
            <w:vAlign w:val="center"/>
          </w:tcPr>
          <w:p w14:paraId="3488A4F3">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rPr>
              <w:t>图形图像计算服务3</w:t>
            </w:r>
          </w:p>
        </w:tc>
        <w:tc>
          <w:tcPr>
            <w:tcW w:w="3260" w:type="dxa"/>
            <w:tcBorders>
              <w:top w:val="single" w:color="auto" w:sz="4" w:space="0"/>
              <w:left w:val="single" w:color="000000" w:sz="4" w:space="0"/>
              <w:bottom w:val="single" w:color="000000" w:sz="4" w:space="0"/>
              <w:right w:val="single" w:color="000000" w:sz="4" w:space="0"/>
            </w:tcBorders>
            <w:vAlign w:val="center"/>
          </w:tcPr>
          <w:p w14:paraId="2FF3985D">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rPr>
              <w:t>GPU 显存不低于16G ，最大单精度浮点计算能力不低于 7TFLOPS,最大双精度浮点计算能力0.2TFLOPS</w:t>
            </w:r>
          </w:p>
        </w:tc>
        <w:tc>
          <w:tcPr>
            <w:tcW w:w="113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70F7FC1">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1GPU</w:t>
            </w:r>
          </w:p>
        </w:tc>
        <w:tc>
          <w:tcPr>
            <w:tcW w:w="850" w:type="dxa"/>
            <w:tcBorders>
              <w:top w:val="single" w:color="auto" w:sz="4" w:space="0"/>
              <w:left w:val="single" w:color="000000" w:sz="4" w:space="0"/>
              <w:bottom w:val="single" w:color="000000" w:sz="4" w:space="0"/>
              <w:right w:val="single" w:color="000000" w:sz="4" w:space="0"/>
            </w:tcBorders>
            <w:vAlign w:val="center"/>
          </w:tcPr>
          <w:p w14:paraId="114B0E46">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元/月</w:t>
            </w:r>
          </w:p>
        </w:tc>
        <w:tc>
          <w:tcPr>
            <w:tcW w:w="1023" w:type="dxa"/>
            <w:tcBorders>
              <w:top w:val="single" w:color="auto" w:sz="4" w:space="0"/>
              <w:left w:val="single" w:color="000000" w:sz="4" w:space="0"/>
              <w:bottom w:val="single" w:color="000000" w:sz="4" w:space="0"/>
              <w:right w:val="single" w:color="000000" w:sz="4" w:space="0"/>
            </w:tcBorders>
            <w:vAlign w:val="center"/>
          </w:tcPr>
          <w:p w14:paraId="7597386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79" w:type="dxa"/>
            <w:tcBorders>
              <w:top w:val="single" w:color="auto" w:sz="4" w:space="0"/>
              <w:left w:val="single" w:color="000000" w:sz="4" w:space="0"/>
              <w:bottom w:val="single" w:color="000000" w:sz="4" w:space="0"/>
              <w:right w:val="single" w:color="000000" w:sz="4" w:space="0"/>
            </w:tcBorders>
            <w:vAlign w:val="center"/>
          </w:tcPr>
          <w:p w14:paraId="25548816">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778A289B">
        <w:tblPrEx>
          <w:tblCellMar>
            <w:top w:w="0" w:type="dxa"/>
            <w:left w:w="108" w:type="dxa"/>
            <w:bottom w:w="0" w:type="dxa"/>
            <w:right w:w="108" w:type="dxa"/>
          </w:tblCellMar>
        </w:tblPrEx>
        <w:trPr>
          <w:trHeight w:val="1060" w:hRule="atLeast"/>
        </w:trPr>
        <w:tc>
          <w:tcPr>
            <w:tcW w:w="1555" w:type="dxa"/>
            <w:tcBorders>
              <w:top w:val="single" w:color="auto" w:sz="4" w:space="0"/>
              <w:left w:val="single" w:color="000000" w:sz="4" w:space="0"/>
              <w:bottom w:val="single" w:color="000000" w:sz="4" w:space="0"/>
              <w:right w:val="single" w:color="000000" w:sz="4" w:space="0"/>
            </w:tcBorders>
            <w:vAlign w:val="center"/>
          </w:tcPr>
          <w:p w14:paraId="03EAEAD7">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普通性能存储</w:t>
            </w:r>
          </w:p>
        </w:tc>
        <w:tc>
          <w:tcPr>
            <w:tcW w:w="3260" w:type="dxa"/>
            <w:tcBorders>
              <w:top w:val="single" w:color="auto" w:sz="4" w:space="0"/>
              <w:left w:val="single" w:color="000000" w:sz="4" w:space="0"/>
              <w:bottom w:val="single" w:color="000000" w:sz="4" w:space="0"/>
              <w:right w:val="single" w:color="000000" w:sz="4" w:space="0"/>
            </w:tcBorders>
            <w:vAlign w:val="center"/>
          </w:tcPr>
          <w:p w14:paraId="15A2CAA2">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普通存储（单盘技术指标:单盘IOPS1000-3000）</w:t>
            </w:r>
          </w:p>
        </w:tc>
        <w:tc>
          <w:tcPr>
            <w:tcW w:w="113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70E7D17">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1GB</w:t>
            </w:r>
          </w:p>
        </w:tc>
        <w:tc>
          <w:tcPr>
            <w:tcW w:w="850" w:type="dxa"/>
            <w:tcBorders>
              <w:top w:val="single" w:color="auto" w:sz="4" w:space="0"/>
              <w:left w:val="single" w:color="000000" w:sz="4" w:space="0"/>
              <w:bottom w:val="single" w:color="000000" w:sz="4" w:space="0"/>
              <w:right w:val="single" w:color="000000" w:sz="4" w:space="0"/>
            </w:tcBorders>
            <w:vAlign w:val="center"/>
          </w:tcPr>
          <w:p w14:paraId="29B904B9">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auto" w:sz="4" w:space="0"/>
              <w:left w:val="single" w:color="000000" w:sz="4" w:space="0"/>
              <w:bottom w:val="single" w:color="000000" w:sz="4" w:space="0"/>
              <w:right w:val="single" w:color="000000" w:sz="4" w:space="0"/>
            </w:tcBorders>
            <w:vAlign w:val="center"/>
          </w:tcPr>
          <w:p w14:paraId="008F5FE8">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194320</w:t>
            </w:r>
          </w:p>
        </w:tc>
        <w:tc>
          <w:tcPr>
            <w:tcW w:w="879" w:type="dxa"/>
            <w:tcBorders>
              <w:top w:val="single" w:color="auto" w:sz="4" w:space="0"/>
              <w:left w:val="single" w:color="000000" w:sz="4" w:space="0"/>
              <w:bottom w:val="single" w:color="000000" w:sz="4" w:space="0"/>
              <w:right w:val="single" w:color="000000" w:sz="4" w:space="0"/>
            </w:tcBorders>
            <w:vAlign w:val="center"/>
          </w:tcPr>
          <w:p w14:paraId="4270F7C5">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1212B917">
        <w:tblPrEx>
          <w:tblCellMar>
            <w:top w:w="0" w:type="dxa"/>
            <w:left w:w="108" w:type="dxa"/>
            <w:bottom w:w="0" w:type="dxa"/>
            <w:right w:w="108" w:type="dxa"/>
          </w:tblCellMar>
        </w:tblPrEx>
        <w:trPr>
          <w:trHeight w:val="28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7F7E87F2">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高性能存储</w:t>
            </w:r>
          </w:p>
        </w:tc>
        <w:tc>
          <w:tcPr>
            <w:tcW w:w="3260" w:type="dxa"/>
            <w:tcBorders>
              <w:top w:val="single" w:color="000000" w:sz="4" w:space="0"/>
              <w:left w:val="single" w:color="000000" w:sz="4" w:space="0"/>
              <w:bottom w:val="single" w:color="000000" w:sz="4" w:space="0"/>
              <w:right w:val="single" w:color="000000" w:sz="4" w:space="0"/>
            </w:tcBorders>
            <w:vAlign w:val="center"/>
          </w:tcPr>
          <w:p w14:paraId="59CACE06">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高性能存储（单盘技术指标：单盘IOPS3000-20000）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E9BC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1GB</w:t>
            </w:r>
          </w:p>
        </w:tc>
        <w:tc>
          <w:tcPr>
            <w:tcW w:w="850" w:type="dxa"/>
            <w:tcBorders>
              <w:top w:val="single" w:color="000000" w:sz="4" w:space="0"/>
              <w:left w:val="single" w:color="000000" w:sz="4" w:space="0"/>
              <w:bottom w:val="single" w:color="000000" w:sz="4" w:space="0"/>
              <w:right w:val="single" w:color="000000" w:sz="4" w:space="0"/>
            </w:tcBorders>
            <w:vAlign w:val="center"/>
          </w:tcPr>
          <w:p w14:paraId="6B38678F">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4940779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66348</w:t>
            </w:r>
          </w:p>
        </w:tc>
        <w:tc>
          <w:tcPr>
            <w:tcW w:w="879" w:type="dxa"/>
            <w:tcBorders>
              <w:top w:val="single" w:color="000000" w:sz="4" w:space="0"/>
              <w:left w:val="single" w:color="000000" w:sz="4" w:space="0"/>
              <w:bottom w:val="single" w:color="000000" w:sz="4" w:space="0"/>
              <w:right w:val="single" w:color="000000" w:sz="4" w:space="0"/>
            </w:tcBorders>
            <w:vAlign w:val="center"/>
          </w:tcPr>
          <w:p w14:paraId="292A532E">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49C4CB43">
        <w:tblPrEx>
          <w:tblCellMar>
            <w:top w:w="0" w:type="dxa"/>
            <w:left w:w="108" w:type="dxa"/>
            <w:bottom w:w="0" w:type="dxa"/>
            <w:right w:w="108" w:type="dxa"/>
          </w:tblCellMar>
        </w:tblPrEx>
        <w:trPr>
          <w:trHeight w:val="28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16E84982">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静态存储</w:t>
            </w:r>
          </w:p>
        </w:tc>
        <w:tc>
          <w:tcPr>
            <w:tcW w:w="3260" w:type="dxa"/>
            <w:tcBorders>
              <w:top w:val="single" w:color="000000" w:sz="4" w:space="0"/>
              <w:left w:val="single" w:color="000000" w:sz="4" w:space="0"/>
              <w:bottom w:val="single" w:color="000000" w:sz="4" w:space="0"/>
              <w:right w:val="single" w:color="000000" w:sz="4" w:space="0"/>
            </w:tcBorders>
            <w:vAlign w:val="center"/>
          </w:tcPr>
          <w:p w14:paraId="293986EE">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大容量、高可靠的数据存储服务，具备PB级线性扩展能力</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BF57">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 TB</w:t>
            </w:r>
          </w:p>
        </w:tc>
        <w:tc>
          <w:tcPr>
            <w:tcW w:w="850" w:type="dxa"/>
            <w:tcBorders>
              <w:top w:val="single" w:color="000000" w:sz="4" w:space="0"/>
              <w:left w:val="single" w:color="000000" w:sz="4" w:space="0"/>
              <w:bottom w:val="single" w:color="000000" w:sz="4" w:space="0"/>
              <w:right w:val="single" w:color="000000" w:sz="4" w:space="0"/>
            </w:tcBorders>
            <w:vAlign w:val="center"/>
          </w:tcPr>
          <w:p w14:paraId="44DCD015">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3AAD0A94">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580</w:t>
            </w:r>
          </w:p>
        </w:tc>
        <w:tc>
          <w:tcPr>
            <w:tcW w:w="879" w:type="dxa"/>
            <w:tcBorders>
              <w:top w:val="single" w:color="000000" w:sz="4" w:space="0"/>
              <w:left w:val="single" w:color="000000" w:sz="4" w:space="0"/>
              <w:bottom w:val="single" w:color="000000" w:sz="4" w:space="0"/>
              <w:right w:val="single" w:color="000000" w:sz="4" w:space="0"/>
            </w:tcBorders>
            <w:vAlign w:val="center"/>
          </w:tcPr>
          <w:p w14:paraId="14C1ED92">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rPr>
              <w:t>12</w:t>
            </w:r>
          </w:p>
        </w:tc>
      </w:tr>
      <w:tr w14:paraId="4ABFFD80">
        <w:tblPrEx>
          <w:tblCellMar>
            <w:top w:w="0" w:type="dxa"/>
            <w:left w:w="108" w:type="dxa"/>
            <w:bottom w:w="0" w:type="dxa"/>
            <w:right w:w="108" w:type="dxa"/>
          </w:tblCellMar>
        </w:tblPrEx>
        <w:trPr>
          <w:trHeight w:val="570" w:hRule="atLeast"/>
        </w:trPr>
        <w:tc>
          <w:tcPr>
            <w:tcW w:w="1555" w:type="dxa"/>
            <w:tcBorders>
              <w:top w:val="single" w:color="000000" w:sz="4" w:space="0"/>
              <w:left w:val="single" w:color="000000" w:sz="4" w:space="0"/>
              <w:bottom w:val="single" w:color="auto" w:sz="4" w:space="0"/>
              <w:right w:val="single" w:color="000000" w:sz="4" w:space="0"/>
            </w:tcBorders>
            <w:vAlign w:val="center"/>
          </w:tcPr>
          <w:p w14:paraId="5A781CA8">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本地备份服务</w:t>
            </w:r>
          </w:p>
        </w:tc>
        <w:tc>
          <w:tcPr>
            <w:tcW w:w="3260" w:type="dxa"/>
            <w:tcBorders>
              <w:top w:val="single" w:color="000000" w:sz="4" w:space="0"/>
              <w:left w:val="single" w:color="000000" w:sz="4" w:space="0"/>
              <w:bottom w:val="single" w:color="000000" w:sz="4" w:space="0"/>
              <w:right w:val="single" w:color="000000" w:sz="4" w:space="0"/>
            </w:tcBorders>
            <w:vAlign w:val="center"/>
          </w:tcPr>
          <w:p w14:paraId="0C04A9D2">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本地备份服务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D68A8">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1GB</w:t>
            </w:r>
          </w:p>
        </w:tc>
        <w:tc>
          <w:tcPr>
            <w:tcW w:w="850" w:type="dxa"/>
            <w:tcBorders>
              <w:top w:val="single" w:color="000000" w:sz="4" w:space="0"/>
              <w:left w:val="single" w:color="000000" w:sz="4" w:space="0"/>
              <w:bottom w:val="single" w:color="000000" w:sz="4" w:space="0"/>
              <w:right w:val="single" w:color="000000" w:sz="4" w:space="0"/>
            </w:tcBorders>
            <w:vAlign w:val="center"/>
          </w:tcPr>
          <w:p w14:paraId="706B41BE">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101B7BD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39100</w:t>
            </w:r>
          </w:p>
        </w:tc>
        <w:tc>
          <w:tcPr>
            <w:tcW w:w="879" w:type="dxa"/>
            <w:tcBorders>
              <w:top w:val="single" w:color="000000" w:sz="4" w:space="0"/>
              <w:left w:val="single" w:color="000000" w:sz="4" w:space="0"/>
              <w:bottom w:val="single" w:color="000000" w:sz="4" w:space="0"/>
              <w:right w:val="single" w:color="000000" w:sz="4" w:space="0"/>
            </w:tcBorders>
            <w:vAlign w:val="center"/>
          </w:tcPr>
          <w:p w14:paraId="6C4C0BDA">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41A08349">
        <w:tblPrEx>
          <w:tblCellMar>
            <w:top w:w="0" w:type="dxa"/>
            <w:left w:w="108" w:type="dxa"/>
            <w:bottom w:w="0" w:type="dxa"/>
            <w:right w:w="108" w:type="dxa"/>
          </w:tblCellMar>
        </w:tblPrEx>
        <w:trPr>
          <w:trHeight w:val="570" w:hRule="atLeast"/>
        </w:trPr>
        <w:tc>
          <w:tcPr>
            <w:tcW w:w="1555" w:type="dxa"/>
            <w:tcBorders>
              <w:top w:val="single" w:color="auto" w:sz="4" w:space="0"/>
              <w:left w:val="single" w:color="auto" w:sz="4" w:space="0"/>
              <w:bottom w:val="single" w:color="auto" w:sz="4" w:space="0"/>
              <w:right w:val="single" w:color="auto" w:sz="4" w:space="0"/>
            </w:tcBorders>
            <w:vAlign w:val="center"/>
          </w:tcPr>
          <w:p w14:paraId="59BA1E2E">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互联网链路服务1</w:t>
            </w:r>
          </w:p>
        </w:tc>
        <w:tc>
          <w:tcPr>
            <w:tcW w:w="3260" w:type="dxa"/>
            <w:tcBorders>
              <w:top w:val="single" w:color="000000" w:sz="4" w:space="0"/>
              <w:left w:val="single" w:color="auto" w:sz="4" w:space="0"/>
              <w:bottom w:val="single" w:color="000000" w:sz="4" w:space="0"/>
              <w:right w:val="single" w:color="000000" w:sz="4" w:space="0"/>
            </w:tcBorders>
            <w:vAlign w:val="center"/>
          </w:tcPr>
          <w:p w14:paraId="08D62001">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互联网链路带宽</w:t>
            </w:r>
          </w:p>
        </w:tc>
        <w:tc>
          <w:tcPr>
            <w:tcW w:w="1134" w:type="dxa"/>
            <w:tcBorders>
              <w:top w:val="single" w:color="000000" w:sz="4" w:space="0"/>
              <w:left w:val="single" w:color="000000" w:sz="4" w:space="0"/>
              <w:bottom w:val="single" w:color="000000" w:sz="4" w:space="0"/>
              <w:right w:val="single" w:color="000000" w:sz="4" w:space="0"/>
            </w:tcBorders>
            <w:vAlign w:val="center"/>
          </w:tcPr>
          <w:p w14:paraId="66E76899">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1M</w:t>
            </w:r>
          </w:p>
        </w:tc>
        <w:tc>
          <w:tcPr>
            <w:tcW w:w="850" w:type="dxa"/>
            <w:tcBorders>
              <w:top w:val="single" w:color="000000" w:sz="4" w:space="0"/>
              <w:left w:val="single" w:color="000000" w:sz="4" w:space="0"/>
              <w:bottom w:val="single" w:color="000000" w:sz="4" w:space="0"/>
              <w:right w:val="single" w:color="000000" w:sz="4" w:space="0"/>
            </w:tcBorders>
            <w:vAlign w:val="center"/>
          </w:tcPr>
          <w:p w14:paraId="294ED898">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6CDF8084">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879" w:type="dxa"/>
            <w:tcBorders>
              <w:top w:val="single" w:color="000000" w:sz="4" w:space="0"/>
              <w:left w:val="single" w:color="000000" w:sz="4" w:space="0"/>
              <w:bottom w:val="single" w:color="000000" w:sz="4" w:space="0"/>
              <w:right w:val="single" w:color="000000" w:sz="4" w:space="0"/>
            </w:tcBorders>
            <w:vAlign w:val="center"/>
          </w:tcPr>
          <w:p w14:paraId="214DE75B">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3936A30C">
        <w:tblPrEx>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vAlign w:val="center"/>
          </w:tcPr>
          <w:p w14:paraId="6DBD1292">
            <w:pPr>
              <w:keepNext w:val="0"/>
              <w:keepLines w:val="0"/>
              <w:suppressLineNumbers w:val="0"/>
              <w:spacing w:before="0" w:beforeAutospacing="0" w:afterAutospacing="0"/>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互联网链路服务2</w:t>
            </w:r>
          </w:p>
        </w:tc>
        <w:tc>
          <w:tcPr>
            <w:tcW w:w="3260" w:type="dxa"/>
            <w:tcBorders>
              <w:top w:val="single" w:color="000000" w:sz="4" w:space="0"/>
              <w:left w:val="single" w:color="auto" w:sz="4" w:space="0"/>
              <w:bottom w:val="single" w:color="000000" w:sz="4" w:space="0"/>
              <w:right w:val="single" w:color="000000" w:sz="4" w:space="0"/>
            </w:tcBorders>
            <w:vAlign w:val="center"/>
          </w:tcPr>
          <w:p w14:paraId="6B04B355">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互联网IP地址租用服务、并提供备案服务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1DA1C62D">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1IP</w:t>
            </w:r>
          </w:p>
        </w:tc>
        <w:tc>
          <w:tcPr>
            <w:tcW w:w="850" w:type="dxa"/>
            <w:tcBorders>
              <w:top w:val="single" w:color="000000" w:sz="4" w:space="0"/>
              <w:left w:val="single" w:color="000000" w:sz="4" w:space="0"/>
              <w:bottom w:val="single" w:color="000000" w:sz="4" w:space="0"/>
              <w:right w:val="single" w:color="000000" w:sz="4" w:space="0"/>
            </w:tcBorders>
            <w:vAlign w:val="center"/>
          </w:tcPr>
          <w:p w14:paraId="5F58359F">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67121F99">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879" w:type="dxa"/>
            <w:tcBorders>
              <w:top w:val="single" w:color="000000" w:sz="4" w:space="0"/>
              <w:left w:val="single" w:color="000000" w:sz="4" w:space="0"/>
              <w:bottom w:val="single" w:color="000000" w:sz="4" w:space="0"/>
              <w:right w:val="single" w:color="000000" w:sz="4" w:space="0"/>
            </w:tcBorders>
            <w:vAlign w:val="center"/>
          </w:tcPr>
          <w:p w14:paraId="54BF4924">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6777F3D4">
        <w:tblPrEx>
          <w:tblCellMar>
            <w:top w:w="0" w:type="dxa"/>
            <w:left w:w="108" w:type="dxa"/>
            <w:bottom w:w="0" w:type="dxa"/>
            <w:right w:w="108" w:type="dxa"/>
          </w:tblCellMar>
        </w:tblPrEx>
        <w:trPr>
          <w:trHeight w:val="570" w:hRule="atLeast"/>
        </w:trPr>
        <w:tc>
          <w:tcPr>
            <w:tcW w:w="1555" w:type="dxa"/>
            <w:tcBorders>
              <w:top w:val="single" w:color="auto" w:sz="4" w:space="0"/>
              <w:left w:val="single" w:color="000000" w:sz="4" w:space="0"/>
              <w:bottom w:val="single" w:color="000000" w:sz="4" w:space="0"/>
              <w:right w:val="single" w:color="000000" w:sz="4" w:space="0"/>
            </w:tcBorders>
            <w:vAlign w:val="center"/>
          </w:tcPr>
          <w:p w14:paraId="639A710D">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主机负载均衡服务</w:t>
            </w:r>
          </w:p>
        </w:tc>
        <w:tc>
          <w:tcPr>
            <w:tcW w:w="3260" w:type="dxa"/>
            <w:tcBorders>
              <w:top w:val="single" w:color="000000" w:sz="4" w:space="0"/>
              <w:left w:val="single" w:color="000000" w:sz="4" w:space="0"/>
              <w:bottom w:val="single" w:color="000000" w:sz="4" w:space="0"/>
              <w:right w:val="single" w:color="000000" w:sz="4" w:space="0"/>
            </w:tcBorders>
            <w:vAlign w:val="center"/>
          </w:tcPr>
          <w:p w14:paraId="30161D52">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主机负载均衡服务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438B684">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1IP</w:t>
            </w:r>
          </w:p>
        </w:tc>
        <w:tc>
          <w:tcPr>
            <w:tcW w:w="850" w:type="dxa"/>
            <w:tcBorders>
              <w:top w:val="single" w:color="000000" w:sz="4" w:space="0"/>
              <w:left w:val="single" w:color="000000" w:sz="4" w:space="0"/>
              <w:bottom w:val="single" w:color="000000" w:sz="4" w:space="0"/>
              <w:right w:val="single" w:color="000000" w:sz="4" w:space="0"/>
            </w:tcBorders>
            <w:vAlign w:val="center"/>
          </w:tcPr>
          <w:p w14:paraId="2277CE61">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162AA2A3">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879" w:type="dxa"/>
            <w:tcBorders>
              <w:top w:val="single" w:color="000000" w:sz="4" w:space="0"/>
              <w:left w:val="single" w:color="000000" w:sz="4" w:space="0"/>
              <w:bottom w:val="single" w:color="000000" w:sz="4" w:space="0"/>
              <w:right w:val="single" w:color="000000" w:sz="4" w:space="0"/>
            </w:tcBorders>
            <w:vAlign w:val="center"/>
          </w:tcPr>
          <w:p w14:paraId="262EEBD6">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3531CDD6">
        <w:tblPrEx>
          <w:tblCellMar>
            <w:top w:w="0" w:type="dxa"/>
            <w:left w:w="108" w:type="dxa"/>
            <w:bottom w:w="0" w:type="dxa"/>
            <w:right w:w="108" w:type="dxa"/>
          </w:tblCellMar>
        </w:tblPrEx>
        <w:trPr>
          <w:trHeight w:val="280" w:hRule="atLeast"/>
        </w:trPr>
        <w:tc>
          <w:tcPr>
            <w:tcW w:w="1555" w:type="dxa"/>
            <w:tcBorders>
              <w:top w:val="single" w:color="000000" w:sz="4" w:space="0"/>
              <w:left w:val="single" w:color="000000" w:sz="4" w:space="0"/>
              <w:bottom w:val="single" w:color="auto" w:sz="4" w:space="0"/>
              <w:right w:val="single" w:color="000000" w:sz="4" w:space="0"/>
            </w:tcBorders>
            <w:vAlign w:val="center"/>
          </w:tcPr>
          <w:p w14:paraId="3F68EECB">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远程接入服务</w:t>
            </w:r>
          </w:p>
        </w:tc>
        <w:tc>
          <w:tcPr>
            <w:tcW w:w="3260" w:type="dxa"/>
            <w:tcBorders>
              <w:top w:val="single" w:color="000000" w:sz="4" w:space="0"/>
              <w:left w:val="single" w:color="000000" w:sz="4" w:space="0"/>
              <w:bottom w:val="single" w:color="auto" w:sz="4" w:space="0"/>
              <w:right w:val="single" w:color="000000" w:sz="4" w:space="0"/>
            </w:tcBorders>
            <w:vAlign w:val="center"/>
          </w:tcPr>
          <w:p w14:paraId="553B00DE">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远程接入运维，每个账号结合身份验证，通过VPN远程接入堡垒机进行维护（免费提供1个账号）</w:t>
            </w:r>
          </w:p>
        </w:tc>
        <w:tc>
          <w:tcPr>
            <w:tcW w:w="1134" w:type="dxa"/>
            <w:tcBorders>
              <w:top w:val="single" w:color="000000" w:sz="4" w:space="0"/>
              <w:left w:val="single" w:color="000000" w:sz="4" w:space="0"/>
              <w:bottom w:val="single" w:color="auto" w:sz="4" w:space="0"/>
              <w:right w:val="single" w:color="000000" w:sz="4" w:space="0"/>
            </w:tcBorders>
            <w:vAlign w:val="center"/>
          </w:tcPr>
          <w:p w14:paraId="13C39371">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1账号</w:t>
            </w:r>
          </w:p>
        </w:tc>
        <w:tc>
          <w:tcPr>
            <w:tcW w:w="850" w:type="dxa"/>
            <w:tcBorders>
              <w:top w:val="single" w:color="000000" w:sz="4" w:space="0"/>
              <w:left w:val="single" w:color="000000" w:sz="4" w:space="0"/>
              <w:bottom w:val="single" w:color="auto" w:sz="4" w:space="0"/>
              <w:right w:val="single" w:color="000000" w:sz="4" w:space="0"/>
            </w:tcBorders>
            <w:vAlign w:val="center"/>
          </w:tcPr>
          <w:p w14:paraId="2B946022">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auto" w:sz="4" w:space="0"/>
              <w:right w:val="single" w:color="000000" w:sz="4" w:space="0"/>
            </w:tcBorders>
            <w:vAlign w:val="center"/>
          </w:tcPr>
          <w:p w14:paraId="337506B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879" w:type="dxa"/>
            <w:tcBorders>
              <w:top w:val="single" w:color="000000" w:sz="4" w:space="0"/>
              <w:left w:val="single" w:color="000000" w:sz="4" w:space="0"/>
              <w:bottom w:val="single" w:color="auto" w:sz="4" w:space="0"/>
              <w:right w:val="single" w:color="000000" w:sz="4" w:space="0"/>
            </w:tcBorders>
            <w:vAlign w:val="center"/>
          </w:tcPr>
          <w:p w14:paraId="0A84A09A">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2648446E">
        <w:tblPrEx>
          <w:tblCellMar>
            <w:top w:w="0" w:type="dxa"/>
            <w:left w:w="108" w:type="dxa"/>
            <w:bottom w:w="0" w:type="dxa"/>
            <w:right w:w="108" w:type="dxa"/>
          </w:tblCellMar>
        </w:tblPrEx>
        <w:trPr>
          <w:trHeight w:val="540" w:hRule="atLeast"/>
        </w:trPr>
        <w:tc>
          <w:tcPr>
            <w:tcW w:w="1555" w:type="dxa"/>
            <w:tcBorders>
              <w:top w:val="single" w:color="auto" w:sz="4" w:space="0"/>
              <w:left w:val="single" w:color="auto" w:sz="4" w:space="0"/>
              <w:bottom w:val="single" w:color="auto" w:sz="4" w:space="0"/>
              <w:right w:val="single" w:color="auto" w:sz="4" w:space="0"/>
            </w:tcBorders>
            <w:vAlign w:val="center"/>
          </w:tcPr>
          <w:p w14:paraId="70F99988">
            <w:pPr>
              <w:keepNext w:val="0"/>
              <w:keepLines w:val="0"/>
              <w:widowControl/>
              <w:suppressLineNumbers w:val="0"/>
              <w:spacing w:before="0" w:beforeAutospacing="0" w:afterAutospacing="0"/>
              <w:ind w:left="0" w:right="0"/>
              <w:jc w:val="left"/>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VPN服务1</w:t>
            </w:r>
          </w:p>
        </w:tc>
        <w:tc>
          <w:tcPr>
            <w:tcW w:w="3260" w:type="dxa"/>
            <w:tcBorders>
              <w:top w:val="single" w:color="auto" w:sz="4" w:space="0"/>
              <w:left w:val="single" w:color="auto" w:sz="4" w:space="0"/>
              <w:bottom w:val="single" w:color="auto" w:sz="4" w:space="0"/>
              <w:right w:val="single" w:color="auto" w:sz="4" w:space="0"/>
            </w:tcBorders>
            <w:vAlign w:val="center"/>
          </w:tcPr>
          <w:p w14:paraId="0E243945">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SSL VPN 接入（每套10个并发用户，所需带宽参照“互联网链路带宽”购买）</w:t>
            </w:r>
          </w:p>
        </w:tc>
        <w:tc>
          <w:tcPr>
            <w:tcW w:w="1134" w:type="dxa"/>
            <w:tcBorders>
              <w:top w:val="single" w:color="auto" w:sz="4" w:space="0"/>
              <w:left w:val="single" w:color="auto" w:sz="4" w:space="0"/>
              <w:bottom w:val="single" w:color="auto" w:sz="4" w:space="0"/>
              <w:right w:val="single" w:color="auto" w:sz="4" w:space="0"/>
            </w:tcBorders>
            <w:vAlign w:val="center"/>
          </w:tcPr>
          <w:p w14:paraId="42AAD078">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850" w:type="dxa"/>
            <w:tcBorders>
              <w:top w:val="single" w:color="auto" w:sz="4" w:space="0"/>
              <w:left w:val="single" w:color="auto" w:sz="4" w:space="0"/>
              <w:bottom w:val="single" w:color="auto" w:sz="4" w:space="0"/>
              <w:right w:val="single" w:color="auto" w:sz="4" w:space="0"/>
            </w:tcBorders>
            <w:vAlign w:val="center"/>
          </w:tcPr>
          <w:p w14:paraId="5E06BD21">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元/月</w:t>
            </w:r>
          </w:p>
        </w:tc>
        <w:tc>
          <w:tcPr>
            <w:tcW w:w="1023" w:type="dxa"/>
            <w:tcBorders>
              <w:top w:val="single" w:color="auto" w:sz="4" w:space="0"/>
              <w:left w:val="single" w:color="auto" w:sz="4" w:space="0"/>
              <w:bottom w:val="single" w:color="auto" w:sz="4" w:space="0"/>
              <w:right w:val="single" w:color="auto" w:sz="4" w:space="0"/>
            </w:tcBorders>
            <w:vAlign w:val="center"/>
          </w:tcPr>
          <w:p w14:paraId="362C4D83">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879" w:type="dxa"/>
            <w:tcBorders>
              <w:top w:val="single" w:color="auto" w:sz="4" w:space="0"/>
              <w:left w:val="single" w:color="auto" w:sz="4" w:space="0"/>
              <w:bottom w:val="single" w:color="auto" w:sz="4" w:space="0"/>
              <w:right w:val="single" w:color="auto" w:sz="4" w:space="0"/>
            </w:tcBorders>
            <w:vAlign w:val="center"/>
          </w:tcPr>
          <w:p w14:paraId="102492E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2F42A010">
        <w:tblPrEx>
          <w:tblCellMar>
            <w:top w:w="0" w:type="dxa"/>
            <w:left w:w="108" w:type="dxa"/>
            <w:bottom w:w="0" w:type="dxa"/>
            <w:right w:w="108" w:type="dxa"/>
          </w:tblCellMar>
        </w:tblPrEx>
        <w:trPr>
          <w:trHeight w:val="540" w:hRule="atLeast"/>
        </w:trPr>
        <w:tc>
          <w:tcPr>
            <w:tcW w:w="1555" w:type="dxa"/>
            <w:tcBorders>
              <w:top w:val="single" w:color="auto" w:sz="4" w:space="0"/>
              <w:left w:val="single" w:color="000000" w:sz="4" w:space="0"/>
              <w:bottom w:val="single" w:color="000000" w:sz="4" w:space="0"/>
              <w:right w:val="single" w:color="000000" w:sz="4" w:space="0"/>
            </w:tcBorders>
            <w:vAlign w:val="center"/>
          </w:tcPr>
          <w:p w14:paraId="493D4BB9">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SSL证书服务</w:t>
            </w:r>
          </w:p>
        </w:tc>
        <w:tc>
          <w:tcPr>
            <w:tcW w:w="3260" w:type="dxa"/>
            <w:tcBorders>
              <w:top w:val="single" w:color="auto" w:sz="4" w:space="0"/>
              <w:left w:val="single" w:color="000000" w:sz="4" w:space="0"/>
              <w:bottom w:val="single" w:color="000000" w:sz="4" w:space="0"/>
              <w:right w:val="single" w:color="000000" w:sz="4" w:space="0"/>
            </w:tcBorders>
            <w:vAlign w:val="center"/>
          </w:tcPr>
          <w:p w14:paraId="7B3FBE4C">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提供SSL 证书服务，为网站提供https保护，对流量进行加密，防止数据被窃取。</w:t>
            </w:r>
          </w:p>
        </w:tc>
        <w:tc>
          <w:tcPr>
            <w:tcW w:w="1134" w:type="dxa"/>
            <w:tcBorders>
              <w:top w:val="single" w:color="auto" w:sz="4" w:space="0"/>
              <w:left w:val="single" w:color="000000" w:sz="4" w:space="0"/>
              <w:bottom w:val="single" w:color="000000" w:sz="4" w:space="0"/>
              <w:right w:val="single" w:color="000000" w:sz="4" w:space="0"/>
            </w:tcBorders>
            <w:vAlign w:val="center"/>
          </w:tcPr>
          <w:p w14:paraId="3DBF5BAE">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1域名</w:t>
            </w:r>
          </w:p>
        </w:tc>
        <w:tc>
          <w:tcPr>
            <w:tcW w:w="850" w:type="dxa"/>
            <w:tcBorders>
              <w:top w:val="single" w:color="auto" w:sz="4" w:space="0"/>
              <w:left w:val="single" w:color="000000" w:sz="4" w:space="0"/>
              <w:bottom w:val="single" w:color="000000" w:sz="4" w:space="0"/>
              <w:right w:val="single" w:color="000000" w:sz="4" w:space="0"/>
            </w:tcBorders>
            <w:vAlign w:val="center"/>
          </w:tcPr>
          <w:p w14:paraId="24DC1486">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元/月</w:t>
            </w:r>
          </w:p>
        </w:tc>
        <w:tc>
          <w:tcPr>
            <w:tcW w:w="1023" w:type="dxa"/>
            <w:tcBorders>
              <w:top w:val="single" w:color="auto" w:sz="4" w:space="0"/>
              <w:left w:val="single" w:color="000000" w:sz="4" w:space="0"/>
              <w:bottom w:val="single" w:color="000000" w:sz="4" w:space="0"/>
              <w:right w:val="single" w:color="000000" w:sz="4" w:space="0"/>
            </w:tcBorders>
            <w:vAlign w:val="center"/>
          </w:tcPr>
          <w:p w14:paraId="3DB7C1DC">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w:t>
            </w:r>
          </w:p>
        </w:tc>
        <w:tc>
          <w:tcPr>
            <w:tcW w:w="879" w:type="dxa"/>
            <w:tcBorders>
              <w:top w:val="single" w:color="auto" w:sz="4" w:space="0"/>
              <w:left w:val="single" w:color="000000" w:sz="4" w:space="0"/>
              <w:bottom w:val="single" w:color="000000" w:sz="4" w:space="0"/>
              <w:right w:val="single" w:color="000000" w:sz="4" w:space="0"/>
            </w:tcBorders>
            <w:vAlign w:val="center"/>
          </w:tcPr>
          <w:p w14:paraId="38DEACD3">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rPr>
              <w:t>12</w:t>
            </w:r>
          </w:p>
        </w:tc>
      </w:tr>
      <w:tr w14:paraId="160E8C7D">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5F4F1E1">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bidi="ar"/>
              </w:rPr>
              <w:t>WAF防护</w:t>
            </w:r>
          </w:p>
        </w:tc>
        <w:tc>
          <w:tcPr>
            <w:tcW w:w="3260" w:type="dxa"/>
            <w:tcBorders>
              <w:top w:val="single" w:color="000000" w:sz="4" w:space="0"/>
              <w:left w:val="single" w:color="000000" w:sz="4" w:space="0"/>
              <w:bottom w:val="single" w:color="000000" w:sz="4" w:space="0"/>
              <w:right w:val="single" w:color="000000" w:sz="4" w:space="0"/>
            </w:tcBorders>
            <w:vAlign w:val="center"/>
          </w:tcPr>
          <w:p w14:paraId="2B2907BA">
            <w:pPr>
              <w:keepNext w:val="0"/>
              <w:keepLines w:val="0"/>
              <w:widowControl/>
              <w:suppressLineNumbers w:val="0"/>
              <w:spacing w:before="0" w:beforeAutospacing="0" w:afterAutospacing="0"/>
              <w:ind w:left="0" w:right="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bidi="ar"/>
              </w:rPr>
              <w:t>web应用防火墙服务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0361071">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bidi="ar"/>
              </w:rPr>
              <w:t>1IP</w:t>
            </w:r>
          </w:p>
        </w:tc>
        <w:tc>
          <w:tcPr>
            <w:tcW w:w="850" w:type="dxa"/>
            <w:tcBorders>
              <w:top w:val="single" w:color="000000" w:sz="4" w:space="0"/>
              <w:left w:val="single" w:color="000000" w:sz="4" w:space="0"/>
              <w:bottom w:val="single" w:color="000000" w:sz="4" w:space="0"/>
              <w:right w:val="single" w:color="000000" w:sz="4" w:space="0"/>
            </w:tcBorders>
            <w:vAlign w:val="center"/>
          </w:tcPr>
          <w:p w14:paraId="6DFAC6B2">
            <w:pPr>
              <w:keepNext w:val="0"/>
              <w:keepLines w:val="0"/>
              <w:widowControl/>
              <w:suppressLineNumbers w:val="0"/>
              <w:spacing w:before="0" w:beforeAutospacing="0" w:afterAutospacing="0"/>
              <w:ind w:left="0" w:right="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14E466F0">
            <w:pPr>
              <w:keepNext w:val="0"/>
              <w:keepLines w:val="0"/>
              <w:widowControl/>
              <w:suppressLineNumbers w:val="0"/>
              <w:spacing w:before="0" w:beforeAutospacing="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879" w:type="dxa"/>
            <w:tcBorders>
              <w:top w:val="single" w:color="000000" w:sz="4" w:space="0"/>
              <w:left w:val="single" w:color="000000" w:sz="4" w:space="0"/>
              <w:bottom w:val="single" w:color="000000" w:sz="4" w:space="0"/>
              <w:right w:val="single" w:color="000000" w:sz="4" w:space="0"/>
            </w:tcBorders>
            <w:vAlign w:val="center"/>
          </w:tcPr>
          <w:p w14:paraId="6B4C4144">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3840CE69">
        <w:tblPrEx>
          <w:tblCellMar>
            <w:top w:w="0" w:type="dxa"/>
            <w:left w:w="108" w:type="dxa"/>
            <w:bottom w:w="0" w:type="dxa"/>
            <w:right w:w="108" w:type="dxa"/>
          </w:tblCellMar>
        </w:tblPrEx>
        <w:trPr>
          <w:trHeight w:val="540" w:hRule="atLeast"/>
        </w:trPr>
        <w:tc>
          <w:tcPr>
            <w:tcW w:w="8701" w:type="dxa"/>
            <w:gridSpan w:val="6"/>
            <w:tcBorders>
              <w:top w:val="single" w:color="000000" w:sz="4" w:space="0"/>
              <w:left w:val="single" w:color="000000" w:sz="4" w:space="0"/>
              <w:bottom w:val="single" w:color="000000" w:sz="4" w:space="0"/>
              <w:right w:val="single" w:color="000000" w:sz="4" w:space="0"/>
            </w:tcBorders>
            <w:vAlign w:val="center"/>
          </w:tcPr>
          <w:p w14:paraId="6BF5F59A">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扩展服务</w:t>
            </w:r>
          </w:p>
        </w:tc>
      </w:tr>
      <w:tr w14:paraId="4A695F0D">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A58608B">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防病毒（按主机数购买）</w:t>
            </w:r>
          </w:p>
        </w:tc>
        <w:tc>
          <w:tcPr>
            <w:tcW w:w="3260" w:type="dxa"/>
            <w:tcBorders>
              <w:top w:val="single" w:color="000000" w:sz="4" w:space="0"/>
              <w:left w:val="single" w:color="000000" w:sz="4" w:space="0"/>
              <w:bottom w:val="single" w:color="000000" w:sz="4" w:space="0"/>
              <w:right w:val="single" w:color="000000" w:sz="4" w:space="0"/>
            </w:tcBorders>
            <w:vAlign w:val="center"/>
          </w:tcPr>
          <w:p w14:paraId="0A140DDC">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防病毒（按主机数购买）</w:t>
            </w:r>
          </w:p>
        </w:tc>
        <w:tc>
          <w:tcPr>
            <w:tcW w:w="1134" w:type="dxa"/>
            <w:tcBorders>
              <w:top w:val="single" w:color="000000" w:sz="4" w:space="0"/>
              <w:left w:val="single" w:color="000000" w:sz="4" w:space="0"/>
              <w:bottom w:val="single" w:color="000000" w:sz="4" w:space="0"/>
              <w:right w:val="single" w:color="000000" w:sz="4" w:space="0"/>
            </w:tcBorders>
            <w:vAlign w:val="center"/>
          </w:tcPr>
          <w:p w14:paraId="4DDB8CE8">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1主机</w:t>
            </w:r>
          </w:p>
        </w:tc>
        <w:tc>
          <w:tcPr>
            <w:tcW w:w="850" w:type="dxa"/>
            <w:tcBorders>
              <w:top w:val="single" w:color="000000" w:sz="4" w:space="0"/>
              <w:left w:val="single" w:color="000000" w:sz="4" w:space="0"/>
              <w:bottom w:val="single" w:color="000000" w:sz="4" w:space="0"/>
              <w:right w:val="single" w:color="000000" w:sz="4" w:space="0"/>
            </w:tcBorders>
            <w:vAlign w:val="center"/>
          </w:tcPr>
          <w:p w14:paraId="15889CF6">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16D4E36B">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387</w:t>
            </w:r>
          </w:p>
        </w:tc>
        <w:tc>
          <w:tcPr>
            <w:tcW w:w="879" w:type="dxa"/>
            <w:tcBorders>
              <w:top w:val="single" w:color="000000" w:sz="4" w:space="0"/>
              <w:left w:val="single" w:color="000000" w:sz="4" w:space="0"/>
              <w:bottom w:val="single" w:color="000000" w:sz="4" w:space="0"/>
              <w:right w:val="single" w:color="000000" w:sz="4" w:space="0"/>
            </w:tcBorders>
            <w:vAlign w:val="center"/>
          </w:tcPr>
          <w:p w14:paraId="6CA45E98">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12</w:t>
            </w:r>
          </w:p>
        </w:tc>
      </w:tr>
      <w:tr w14:paraId="590FBF97">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EA51F2C">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云防火墙（含IPS＋IDS＋防病毒）</w:t>
            </w:r>
          </w:p>
        </w:tc>
        <w:tc>
          <w:tcPr>
            <w:tcW w:w="3260" w:type="dxa"/>
            <w:tcBorders>
              <w:top w:val="single" w:color="000000" w:sz="4" w:space="0"/>
              <w:left w:val="single" w:color="000000" w:sz="4" w:space="0"/>
              <w:bottom w:val="single" w:color="000000" w:sz="4" w:space="0"/>
              <w:right w:val="single" w:color="000000" w:sz="4" w:space="0"/>
            </w:tcBorders>
            <w:vAlign w:val="center"/>
          </w:tcPr>
          <w:p w14:paraId="0ABCCF9D">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云防火墙（含IPS＋IDS＋防病毒）</w:t>
            </w:r>
          </w:p>
        </w:tc>
        <w:tc>
          <w:tcPr>
            <w:tcW w:w="1134" w:type="dxa"/>
            <w:tcBorders>
              <w:top w:val="single" w:color="000000" w:sz="4" w:space="0"/>
              <w:left w:val="single" w:color="000000" w:sz="4" w:space="0"/>
              <w:bottom w:val="single" w:color="000000" w:sz="4" w:space="0"/>
              <w:right w:val="single" w:color="000000" w:sz="4" w:space="0"/>
            </w:tcBorders>
            <w:vAlign w:val="center"/>
          </w:tcPr>
          <w:p w14:paraId="1EEA2B54">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1套</w:t>
            </w:r>
          </w:p>
        </w:tc>
        <w:tc>
          <w:tcPr>
            <w:tcW w:w="850" w:type="dxa"/>
            <w:tcBorders>
              <w:top w:val="single" w:color="000000" w:sz="4" w:space="0"/>
              <w:left w:val="single" w:color="000000" w:sz="4" w:space="0"/>
              <w:bottom w:val="single" w:color="000000" w:sz="4" w:space="0"/>
              <w:right w:val="single" w:color="000000" w:sz="4" w:space="0"/>
            </w:tcBorders>
            <w:vAlign w:val="center"/>
          </w:tcPr>
          <w:p w14:paraId="7496C1D6">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75129594">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w:t>
            </w:r>
          </w:p>
        </w:tc>
        <w:tc>
          <w:tcPr>
            <w:tcW w:w="879" w:type="dxa"/>
            <w:tcBorders>
              <w:top w:val="single" w:color="000000" w:sz="4" w:space="0"/>
              <w:left w:val="single" w:color="000000" w:sz="4" w:space="0"/>
              <w:bottom w:val="single" w:color="000000" w:sz="4" w:space="0"/>
              <w:right w:val="single" w:color="000000" w:sz="4" w:space="0"/>
            </w:tcBorders>
            <w:vAlign w:val="center"/>
          </w:tcPr>
          <w:p w14:paraId="52248288">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12</w:t>
            </w:r>
          </w:p>
        </w:tc>
      </w:tr>
      <w:tr w14:paraId="0BCAF982">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3F247FC">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堡垒机（每套200资产）</w:t>
            </w:r>
          </w:p>
        </w:tc>
        <w:tc>
          <w:tcPr>
            <w:tcW w:w="3260" w:type="dxa"/>
            <w:tcBorders>
              <w:top w:val="single" w:color="000000" w:sz="4" w:space="0"/>
              <w:left w:val="single" w:color="000000" w:sz="4" w:space="0"/>
              <w:bottom w:val="single" w:color="000000" w:sz="4" w:space="0"/>
              <w:right w:val="single" w:color="000000" w:sz="4" w:space="0"/>
            </w:tcBorders>
            <w:vAlign w:val="center"/>
          </w:tcPr>
          <w:p w14:paraId="5B93E823">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堡垒机（每套200资产）</w:t>
            </w:r>
          </w:p>
        </w:tc>
        <w:tc>
          <w:tcPr>
            <w:tcW w:w="1134" w:type="dxa"/>
            <w:tcBorders>
              <w:top w:val="single" w:color="000000" w:sz="4" w:space="0"/>
              <w:left w:val="single" w:color="000000" w:sz="4" w:space="0"/>
              <w:bottom w:val="single" w:color="000000" w:sz="4" w:space="0"/>
              <w:right w:val="single" w:color="000000" w:sz="4" w:space="0"/>
            </w:tcBorders>
            <w:vAlign w:val="center"/>
          </w:tcPr>
          <w:p w14:paraId="5CB55DCA">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1套</w:t>
            </w:r>
          </w:p>
        </w:tc>
        <w:tc>
          <w:tcPr>
            <w:tcW w:w="850" w:type="dxa"/>
            <w:tcBorders>
              <w:top w:val="single" w:color="000000" w:sz="4" w:space="0"/>
              <w:left w:val="single" w:color="000000" w:sz="4" w:space="0"/>
              <w:bottom w:val="single" w:color="000000" w:sz="4" w:space="0"/>
              <w:right w:val="single" w:color="000000" w:sz="4" w:space="0"/>
            </w:tcBorders>
            <w:vAlign w:val="center"/>
          </w:tcPr>
          <w:p w14:paraId="48B174FC">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5DF72A36">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879" w:type="dxa"/>
            <w:tcBorders>
              <w:top w:val="single" w:color="000000" w:sz="4" w:space="0"/>
              <w:left w:val="single" w:color="000000" w:sz="4" w:space="0"/>
              <w:bottom w:val="single" w:color="000000" w:sz="4" w:space="0"/>
              <w:right w:val="single" w:color="000000" w:sz="4" w:space="0"/>
            </w:tcBorders>
            <w:vAlign w:val="center"/>
          </w:tcPr>
          <w:p w14:paraId="0D467D95">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2F6687C7">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B7D5EC0">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数据库审计服务（1套含10点位）</w:t>
            </w:r>
          </w:p>
        </w:tc>
        <w:tc>
          <w:tcPr>
            <w:tcW w:w="3260" w:type="dxa"/>
            <w:tcBorders>
              <w:top w:val="single" w:color="000000" w:sz="4" w:space="0"/>
              <w:left w:val="single" w:color="000000" w:sz="4" w:space="0"/>
              <w:bottom w:val="single" w:color="000000" w:sz="4" w:space="0"/>
              <w:right w:val="single" w:color="000000" w:sz="4" w:space="0"/>
            </w:tcBorders>
            <w:vAlign w:val="center"/>
          </w:tcPr>
          <w:p w14:paraId="29B4CBC1">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数据库审计服务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F9A730E">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1套</w:t>
            </w:r>
          </w:p>
        </w:tc>
        <w:tc>
          <w:tcPr>
            <w:tcW w:w="850" w:type="dxa"/>
            <w:tcBorders>
              <w:top w:val="single" w:color="000000" w:sz="4" w:space="0"/>
              <w:left w:val="single" w:color="000000" w:sz="4" w:space="0"/>
              <w:bottom w:val="single" w:color="000000" w:sz="4" w:space="0"/>
              <w:right w:val="single" w:color="000000" w:sz="4" w:space="0"/>
            </w:tcBorders>
            <w:vAlign w:val="center"/>
          </w:tcPr>
          <w:p w14:paraId="447C5368">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3279A8B7">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79" w:type="dxa"/>
            <w:tcBorders>
              <w:top w:val="single" w:color="000000" w:sz="4" w:space="0"/>
              <w:left w:val="single" w:color="000000" w:sz="4" w:space="0"/>
              <w:bottom w:val="single" w:color="000000" w:sz="4" w:space="0"/>
              <w:right w:val="single" w:color="000000" w:sz="4" w:space="0"/>
            </w:tcBorders>
            <w:vAlign w:val="center"/>
          </w:tcPr>
          <w:p w14:paraId="5B28234C">
            <w:pPr>
              <w:keepNext w:val="0"/>
              <w:keepLines w:val="0"/>
              <w:widowControl/>
              <w:suppressLineNumbers w:val="0"/>
              <w:spacing w:before="0" w:beforeAutospacing="0" w:afterAutospacing="0"/>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r>
      <w:tr w14:paraId="5F09DF37">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62FF19FE">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主机日志审计（200监控点位）</w:t>
            </w:r>
          </w:p>
        </w:tc>
        <w:tc>
          <w:tcPr>
            <w:tcW w:w="3260" w:type="dxa"/>
            <w:tcBorders>
              <w:top w:val="single" w:color="000000" w:sz="4" w:space="0"/>
              <w:left w:val="single" w:color="000000" w:sz="4" w:space="0"/>
              <w:bottom w:val="single" w:color="000000" w:sz="4" w:space="0"/>
              <w:right w:val="single" w:color="000000" w:sz="4" w:space="0"/>
            </w:tcBorders>
            <w:vAlign w:val="center"/>
          </w:tcPr>
          <w:p w14:paraId="7E331D42">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主机日志审计（200监控点位）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E996237">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1套</w:t>
            </w:r>
          </w:p>
        </w:tc>
        <w:tc>
          <w:tcPr>
            <w:tcW w:w="850" w:type="dxa"/>
            <w:tcBorders>
              <w:top w:val="single" w:color="000000" w:sz="4" w:space="0"/>
              <w:left w:val="single" w:color="000000" w:sz="4" w:space="0"/>
              <w:bottom w:val="single" w:color="000000" w:sz="4" w:space="0"/>
              <w:right w:val="single" w:color="000000" w:sz="4" w:space="0"/>
            </w:tcBorders>
            <w:vAlign w:val="center"/>
          </w:tcPr>
          <w:p w14:paraId="0E6FA15F">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0FAB9DFD">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4</w:t>
            </w:r>
          </w:p>
        </w:tc>
        <w:tc>
          <w:tcPr>
            <w:tcW w:w="879" w:type="dxa"/>
            <w:tcBorders>
              <w:top w:val="single" w:color="000000" w:sz="4" w:space="0"/>
              <w:left w:val="single" w:color="000000" w:sz="4" w:space="0"/>
              <w:bottom w:val="single" w:color="000000" w:sz="4" w:space="0"/>
              <w:right w:val="single" w:color="000000" w:sz="4" w:space="0"/>
            </w:tcBorders>
            <w:vAlign w:val="center"/>
          </w:tcPr>
          <w:p w14:paraId="4A134D83">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12</w:t>
            </w:r>
          </w:p>
        </w:tc>
      </w:tr>
      <w:tr w14:paraId="05C1158E">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2C8104B7">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网页防篡改（按监控点位计费）</w:t>
            </w:r>
          </w:p>
        </w:tc>
        <w:tc>
          <w:tcPr>
            <w:tcW w:w="3260" w:type="dxa"/>
            <w:tcBorders>
              <w:top w:val="single" w:color="000000" w:sz="4" w:space="0"/>
              <w:left w:val="single" w:color="000000" w:sz="4" w:space="0"/>
              <w:bottom w:val="single" w:color="000000" w:sz="4" w:space="0"/>
              <w:right w:val="single" w:color="000000" w:sz="4" w:space="0"/>
            </w:tcBorders>
            <w:vAlign w:val="center"/>
          </w:tcPr>
          <w:p w14:paraId="2A25454D">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网页防篡改（按监控点位计费）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17102768">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1监控点</w:t>
            </w:r>
          </w:p>
        </w:tc>
        <w:tc>
          <w:tcPr>
            <w:tcW w:w="850" w:type="dxa"/>
            <w:tcBorders>
              <w:top w:val="single" w:color="000000" w:sz="4" w:space="0"/>
              <w:left w:val="single" w:color="000000" w:sz="4" w:space="0"/>
              <w:bottom w:val="single" w:color="000000" w:sz="4" w:space="0"/>
              <w:right w:val="single" w:color="000000" w:sz="4" w:space="0"/>
            </w:tcBorders>
            <w:vAlign w:val="center"/>
          </w:tcPr>
          <w:p w14:paraId="30EB5B99">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1BA51A45">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10</w:t>
            </w:r>
          </w:p>
        </w:tc>
        <w:tc>
          <w:tcPr>
            <w:tcW w:w="879" w:type="dxa"/>
            <w:tcBorders>
              <w:top w:val="single" w:color="000000" w:sz="4" w:space="0"/>
              <w:left w:val="single" w:color="000000" w:sz="4" w:space="0"/>
              <w:bottom w:val="single" w:color="000000" w:sz="4" w:space="0"/>
              <w:right w:val="single" w:color="000000" w:sz="4" w:space="0"/>
            </w:tcBorders>
            <w:vAlign w:val="center"/>
          </w:tcPr>
          <w:p w14:paraId="46C210A8">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12</w:t>
            </w:r>
          </w:p>
        </w:tc>
      </w:tr>
      <w:tr w14:paraId="2969E5B9">
        <w:tblPrEx>
          <w:tblCellMar>
            <w:top w:w="0" w:type="dxa"/>
            <w:left w:w="108" w:type="dxa"/>
            <w:bottom w:w="0" w:type="dxa"/>
            <w:right w:w="108" w:type="dxa"/>
          </w:tblCellMar>
        </w:tblPrEx>
        <w:trPr>
          <w:trHeight w:val="5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D4DEB22">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WEB应用防火墙（含WAF＋防篡改）</w:t>
            </w:r>
          </w:p>
        </w:tc>
        <w:tc>
          <w:tcPr>
            <w:tcW w:w="3260" w:type="dxa"/>
            <w:tcBorders>
              <w:top w:val="single" w:color="000000" w:sz="4" w:space="0"/>
              <w:left w:val="single" w:color="000000" w:sz="4" w:space="0"/>
              <w:bottom w:val="single" w:color="000000" w:sz="4" w:space="0"/>
              <w:right w:val="single" w:color="000000" w:sz="4" w:space="0"/>
            </w:tcBorders>
            <w:vAlign w:val="center"/>
          </w:tcPr>
          <w:p w14:paraId="3A6E123C">
            <w:pPr>
              <w:keepNext w:val="0"/>
              <w:keepLines w:val="0"/>
              <w:widowControl/>
              <w:suppressLineNumbers w:val="0"/>
              <w:spacing w:before="0" w:beforeAutospacing="0" w:afterAutospacing="0"/>
              <w:ind w:left="0" w:right="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WEB应用防火墙（含WAF＋防篡改）</w:t>
            </w:r>
          </w:p>
        </w:tc>
        <w:tc>
          <w:tcPr>
            <w:tcW w:w="1134" w:type="dxa"/>
            <w:tcBorders>
              <w:top w:val="single" w:color="000000" w:sz="4" w:space="0"/>
              <w:left w:val="single" w:color="000000" w:sz="4" w:space="0"/>
              <w:bottom w:val="single" w:color="000000" w:sz="4" w:space="0"/>
              <w:right w:val="single" w:color="000000" w:sz="4" w:space="0"/>
            </w:tcBorders>
            <w:vAlign w:val="center"/>
          </w:tcPr>
          <w:p w14:paraId="5A3D5DB5">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1套</w:t>
            </w:r>
          </w:p>
        </w:tc>
        <w:tc>
          <w:tcPr>
            <w:tcW w:w="850" w:type="dxa"/>
            <w:tcBorders>
              <w:top w:val="single" w:color="000000" w:sz="4" w:space="0"/>
              <w:left w:val="single" w:color="000000" w:sz="4" w:space="0"/>
              <w:bottom w:val="single" w:color="000000" w:sz="4" w:space="0"/>
              <w:right w:val="single" w:color="000000" w:sz="4" w:space="0"/>
            </w:tcBorders>
            <w:vAlign w:val="center"/>
          </w:tcPr>
          <w:p w14:paraId="4DF5B352">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元/月</w:t>
            </w:r>
          </w:p>
        </w:tc>
        <w:tc>
          <w:tcPr>
            <w:tcW w:w="1023" w:type="dxa"/>
            <w:tcBorders>
              <w:top w:val="single" w:color="000000" w:sz="4" w:space="0"/>
              <w:left w:val="single" w:color="000000" w:sz="4" w:space="0"/>
              <w:bottom w:val="single" w:color="000000" w:sz="4" w:space="0"/>
              <w:right w:val="single" w:color="000000" w:sz="4" w:space="0"/>
            </w:tcBorders>
            <w:vAlign w:val="center"/>
          </w:tcPr>
          <w:p w14:paraId="09FC764A">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2</w:t>
            </w:r>
          </w:p>
        </w:tc>
        <w:tc>
          <w:tcPr>
            <w:tcW w:w="879" w:type="dxa"/>
            <w:tcBorders>
              <w:top w:val="single" w:color="000000" w:sz="4" w:space="0"/>
              <w:left w:val="single" w:color="000000" w:sz="4" w:space="0"/>
              <w:bottom w:val="single" w:color="000000" w:sz="4" w:space="0"/>
              <w:right w:val="single" w:color="000000" w:sz="4" w:space="0"/>
            </w:tcBorders>
            <w:vAlign w:val="center"/>
          </w:tcPr>
          <w:p w14:paraId="02195B0B">
            <w:pPr>
              <w:keepNext w:val="0"/>
              <w:keepLines w:val="0"/>
              <w:widowControl/>
              <w:suppressLineNumbers w:val="0"/>
              <w:spacing w:before="0" w:beforeAutospacing="0" w:afterAutospacing="0"/>
              <w:ind w:left="0" w:right="0"/>
              <w:jc w:val="center"/>
              <w:textAlignment w:val="center"/>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rPr>
              <w:t>12</w:t>
            </w:r>
          </w:p>
        </w:tc>
      </w:tr>
    </w:tbl>
    <w:p w14:paraId="3C0C0907">
      <w:pPr>
        <w:pStyle w:val="15"/>
        <w:spacing w:line="360" w:lineRule="auto"/>
        <w:ind w:firstLine="480"/>
        <w:rPr>
          <w:rFonts w:hint="eastAsia" w:ascii="宋体" w:hAnsi="宋体" w:eastAsia="宋体" w:cs="宋体"/>
          <w:sz w:val="24"/>
          <w:szCs w:val="24"/>
          <w:highlight w:val="none"/>
        </w:rPr>
      </w:pPr>
    </w:p>
    <w:p w14:paraId="305C42AE">
      <w:pPr>
        <w:pStyle w:val="5"/>
        <w:numPr>
          <w:ilvl w:val="0"/>
          <w:numId w:val="14"/>
        </w:numPr>
        <w:tabs>
          <w:tab w:val="left" w:pos="360"/>
        </w:tabs>
        <w:spacing w:line="360" w:lineRule="auto"/>
        <w:ind w:left="420" w:leftChars="200" w:firstLine="0"/>
        <w:rPr>
          <w:rFonts w:hint="eastAsia" w:ascii="宋体" w:hAnsi="宋体" w:eastAsia="宋体" w:cs="宋体"/>
          <w:sz w:val="24"/>
          <w:szCs w:val="24"/>
          <w:highlight w:val="none"/>
        </w:rPr>
      </w:pPr>
      <w:bookmarkStart w:id="33" w:name="_Toc183097669"/>
      <w:r>
        <w:rPr>
          <w:rFonts w:hint="eastAsia" w:ascii="宋体" w:hAnsi="宋体" w:eastAsia="宋体" w:cs="宋体"/>
          <w:sz w:val="24"/>
          <w:szCs w:val="24"/>
          <w:highlight w:val="none"/>
        </w:rPr>
        <w:t>技术要求</w:t>
      </w:r>
      <w:bookmarkEnd w:id="33"/>
    </w:p>
    <w:p w14:paraId="3B64968B">
      <w:pPr>
        <w:pStyle w:val="6"/>
        <w:spacing w:line="360" w:lineRule="auto"/>
        <w:ind w:left="178" w:leftChars="85"/>
        <w:rPr>
          <w:rFonts w:hint="eastAsia" w:ascii="宋体" w:hAnsi="宋体" w:eastAsia="宋体" w:cs="宋体"/>
          <w:sz w:val="24"/>
          <w:szCs w:val="24"/>
          <w:highlight w:val="none"/>
          <w:lang w:val="en-US" w:eastAsia="zh-CN"/>
        </w:rPr>
      </w:pPr>
      <w:bookmarkStart w:id="34" w:name="_Toc183097670"/>
      <w:r>
        <w:rPr>
          <w:rFonts w:hint="eastAsia" w:ascii="宋体" w:hAnsi="宋体" w:eastAsia="宋体" w:cs="宋体"/>
          <w:sz w:val="24"/>
          <w:szCs w:val="24"/>
          <w:highlight w:val="none"/>
          <w:lang w:eastAsia="zh"/>
        </w:rPr>
        <w:t>1、</w:t>
      </w:r>
      <w:r>
        <w:rPr>
          <w:rFonts w:hint="eastAsia" w:ascii="宋体" w:hAnsi="宋体" w:eastAsia="宋体" w:cs="宋体"/>
          <w:sz w:val="24"/>
          <w:szCs w:val="24"/>
          <w:highlight w:val="none"/>
        </w:rPr>
        <w:t>云计算</w:t>
      </w:r>
      <w:bookmarkEnd w:id="34"/>
      <w:r>
        <w:rPr>
          <w:rFonts w:hint="eastAsia" w:ascii="宋体" w:hAnsi="宋体" w:eastAsia="宋体" w:cs="宋体"/>
          <w:sz w:val="24"/>
          <w:szCs w:val="24"/>
          <w:highlight w:val="none"/>
          <w:lang w:val="en-US" w:eastAsia="zh-CN"/>
        </w:rPr>
        <w:t>服务</w:t>
      </w:r>
    </w:p>
    <w:p w14:paraId="22EDE473">
      <w:pPr>
        <w:pStyle w:val="15"/>
        <w:numPr>
          <w:ilvl w:val="0"/>
          <w:numId w:val="15"/>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云服务器规格支持在控制台界面直接选配预置模板和自定义配置两种方式，CPU 配置最大不少于 64 核，内存不少于 512G。</w:t>
      </w:r>
    </w:p>
    <w:p w14:paraId="3F0A2EB7">
      <w:pPr>
        <w:pStyle w:val="15"/>
        <w:numPr>
          <w:ilvl w:val="0"/>
          <w:numId w:val="15"/>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云服务器支持安全加固登录，支持在控制台界面直接配置包括密码登录需符合密码复杂性策略、禁用密码登录启用密钥登录。</w:t>
      </w:r>
    </w:p>
    <w:p w14:paraId="6DA9550B">
      <w:pPr>
        <w:pStyle w:val="15"/>
        <w:numPr>
          <w:ilvl w:val="0"/>
          <w:numId w:val="15"/>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支持在控制台界面为云服务器配置绑定 VIP(虚拟 IP)和 FIP(浮动 IP)，支持在控制台界面的云服务器列表自定义中展示 VIP 和 FIP、支持标签管理</w:t>
      </w:r>
    </w:p>
    <w:p w14:paraId="4DFA4447">
      <w:pPr>
        <w:pStyle w:val="15"/>
        <w:numPr>
          <w:ilvl w:val="0"/>
          <w:numId w:val="15"/>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支持云服务器救援处理，用于系统盘损坏时的救援恢复。支持在控制台界面配置云服务器系统盘的卸载、修复、挂载。</w:t>
      </w:r>
    </w:p>
    <w:p w14:paraId="6B44D093">
      <w:pPr>
        <w:pStyle w:val="15"/>
        <w:numPr>
          <w:ilvl w:val="0"/>
          <w:numId w:val="15"/>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云服务器磁盘类型支持普通云硬盘、高效云硬盘、SSD 云硬盘、普通共享云硬盘、SSD 共享云硬盘，系统盘容量≥40G，最大可挂载数据盘数量不少于 20 个。</w:t>
      </w:r>
    </w:p>
    <w:p w14:paraId="7011FD64">
      <w:pPr>
        <w:pStyle w:val="15"/>
        <w:spacing w:line="360" w:lineRule="auto"/>
        <w:ind w:left="659" w:leftChars="314" w:firstLine="0" w:firstLineChars="0"/>
        <w:rPr>
          <w:rFonts w:hint="eastAsia" w:ascii="宋体" w:hAnsi="宋体" w:eastAsia="宋体" w:cs="宋体"/>
          <w:sz w:val="24"/>
          <w:szCs w:val="24"/>
          <w:highlight w:val="none"/>
        </w:rPr>
      </w:pPr>
    </w:p>
    <w:p w14:paraId="0951869B">
      <w:pPr>
        <w:pStyle w:val="6"/>
        <w:spacing w:line="360" w:lineRule="auto"/>
        <w:ind w:left="178" w:leftChars="85"/>
        <w:rPr>
          <w:rFonts w:hint="eastAsia" w:ascii="宋体" w:hAnsi="宋体" w:eastAsia="宋体" w:cs="宋体"/>
          <w:sz w:val="24"/>
          <w:szCs w:val="24"/>
          <w:highlight w:val="none"/>
          <w:lang w:val="en-US" w:eastAsia="zh-CN"/>
        </w:rPr>
      </w:pPr>
      <w:bookmarkStart w:id="35" w:name="_Toc183097671"/>
      <w:r>
        <w:rPr>
          <w:rFonts w:hint="eastAsia" w:ascii="宋体" w:hAnsi="宋体" w:eastAsia="宋体" w:cs="宋体"/>
          <w:sz w:val="24"/>
          <w:szCs w:val="24"/>
          <w:highlight w:val="none"/>
          <w:lang w:eastAsia="zh"/>
        </w:rPr>
        <w:t>2、</w:t>
      </w:r>
      <w:r>
        <w:rPr>
          <w:rFonts w:hint="eastAsia" w:ascii="宋体" w:hAnsi="宋体" w:eastAsia="宋体" w:cs="宋体"/>
          <w:sz w:val="24"/>
          <w:szCs w:val="24"/>
          <w:highlight w:val="none"/>
        </w:rPr>
        <w:t>云存储</w:t>
      </w:r>
      <w:bookmarkEnd w:id="35"/>
      <w:r>
        <w:rPr>
          <w:rFonts w:hint="eastAsia" w:ascii="宋体" w:hAnsi="宋体" w:eastAsia="宋体" w:cs="宋体"/>
          <w:sz w:val="24"/>
          <w:szCs w:val="24"/>
          <w:highlight w:val="none"/>
          <w:lang w:val="en-US" w:eastAsia="zh-CN"/>
        </w:rPr>
        <w:t>服务</w:t>
      </w:r>
    </w:p>
    <w:p w14:paraId="5B61C4B6">
      <w:pPr>
        <w:pStyle w:val="15"/>
        <w:numPr>
          <w:ilvl w:val="0"/>
          <w:numId w:val="16"/>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提供块存储服务：普通性能存储，读写 IOPS：1000-3000；提供块存储服务：高性能存储，读写 IOPS：3000-20000。</w:t>
      </w:r>
    </w:p>
    <w:p w14:paraId="40E9A489">
      <w:pPr>
        <w:pStyle w:val="15"/>
        <w:numPr>
          <w:ilvl w:val="0"/>
          <w:numId w:val="16"/>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支持分布式存储架构提供≥3 副本数据存储，保障数据安全性；存储节点支持ARM 架构，存储集群容量支持线性扩展</w:t>
      </w:r>
    </w:p>
    <w:p w14:paraId="26E0586B">
      <w:pPr>
        <w:pStyle w:val="15"/>
        <w:numPr>
          <w:ilvl w:val="0"/>
          <w:numId w:val="16"/>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云硬盘存储容量支持动态扩展，单数据盘最大容量≥32T。</w:t>
      </w:r>
    </w:p>
    <w:p w14:paraId="09172B24">
      <w:pPr>
        <w:pStyle w:val="15"/>
        <w:numPr>
          <w:ilvl w:val="0"/>
          <w:numId w:val="16"/>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#为了保障数据安全，提供手动和自动备份功能，支持备份自定义策略；同时在备份删除时，通过增量备份技术，减少备份空间浪费。需提供产品功能截图。</w:t>
      </w:r>
    </w:p>
    <w:p w14:paraId="1A16D154">
      <w:pPr>
        <w:pStyle w:val="15"/>
        <w:numPr>
          <w:ilvl w:val="0"/>
          <w:numId w:val="16"/>
        </w:numPr>
        <w:spacing w:line="360" w:lineRule="auto"/>
        <w:ind w:left="178" w:leftChars="8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#为了防止误删除数据，支持回收站功能，放入回收站的云盘可以在有效期内恢复该云盘数据。需提供产品功能截图</w:t>
      </w:r>
    </w:p>
    <w:p w14:paraId="246979FC">
      <w:pPr>
        <w:pStyle w:val="15"/>
        <w:numPr>
          <w:ilvl w:val="0"/>
          <w:numId w:val="16"/>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平台支持分布式存储和集中存储两种存储架构，具备为数据提供多份副本（不少于三副本）或冗余磁盘阵列的功能，支持基于副本数据进行还原操作。</w:t>
      </w:r>
    </w:p>
    <w:p w14:paraId="27C1AF39">
      <w:pPr>
        <w:pStyle w:val="15"/>
        <w:numPr>
          <w:ilvl w:val="0"/>
          <w:numId w:val="16"/>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为了满足不同的存储类型需求，支持对块、文件、对象三种存储类型的统一管理；存储资源池单盘 IOPS 指标不得少于 1000。</w:t>
      </w:r>
    </w:p>
    <w:p w14:paraId="5EC5C378">
      <w:pPr>
        <w:pStyle w:val="6"/>
        <w:spacing w:line="360" w:lineRule="auto"/>
        <w:ind w:left="178" w:leftChars="85"/>
        <w:rPr>
          <w:rFonts w:hint="eastAsia" w:ascii="宋体" w:hAnsi="宋体" w:eastAsia="宋体" w:cs="宋体"/>
          <w:sz w:val="24"/>
          <w:szCs w:val="24"/>
          <w:highlight w:val="none"/>
          <w:lang w:val="en-US" w:eastAsia="zh-CN"/>
        </w:rPr>
      </w:pPr>
      <w:bookmarkStart w:id="36" w:name="_Toc183097672"/>
      <w:r>
        <w:rPr>
          <w:rFonts w:hint="eastAsia" w:ascii="宋体" w:hAnsi="宋体" w:eastAsia="宋体" w:cs="宋体"/>
          <w:sz w:val="24"/>
          <w:szCs w:val="24"/>
          <w:highlight w:val="none"/>
          <w:lang w:eastAsia="zh"/>
        </w:rPr>
        <w:t>3、</w:t>
      </w:r>
      <w:r>
        <w:rPr>
          <w:rFonts w:hint="eastAsia" w:ascii="宋体" w:hAnsi="宋体" w:eastAsia="宋体" w:cs="宋体"/>
          <w:sz w:val="24"/>
          <w:szCs w:val="24"/>
          <w:highlight w:val="none"/>
        </w:rPr>
        <w:t>云平台</w:t>
      </w:r>
      <w:bookmarkEnd w:id="36"/>
      <w:r>
        <w:rPr>
          <w:rFonts w:hint="eastAsia" w:ascii="宋体" w:hAnsi="宋体" w:eastAsia="宋体" w:cs="宋体"/>
          <w:sz w:val="24"/>
          <w:szCs w:val="24"/>
          <w:highlight w:val="none"/>
          <w:lang w:val="en-US" w:eastAsia="zh-CN"/>
        </w:rPr>
        <w:t>服务</w:t>
      </w:r>
    </w:p>
    <w:p w14:paraId="2DAA9777">
      <w:pPr>
        <w:pStyle w:val="15"/>
        <w:numPr>
          <w:ilvl w:val="0"/>
          <w:numId w:val="17"/>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平台应具备不低于99.99%可用性标准，可支持用户自主配置主机、存储、网络、安全等资源，支持定制化开发依据业务突发性特点，云平台应保障足够的资源冗余及弹性，实现突发情况下的应急扩容、应急安全保障。</w:t>
      </w:r>
    </w:p>
    <w:p w14:paraId="02903C21">
      <w:pPr>
        <w:pStyle w:val="15"/>
        <w:numPr>
          <w:ilvl w:val="0"/>
          <w:numId w:val="17"/>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支持自动生成资源使用的数据报表。</w:t>
      </w:r>
    </w:p>
    <w:p w14:paraId="2BCD5AFE">
      <w:pPr>
        <w:pStyle w:val="6"/>
        <w:spacing w:line="360" w:lineRule="auto"/>
        <w:ind w:left="178" w:leftChars="8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
        </w:rPr>
        <w:t>4、</w:t>
      </w:r>
      <w:r>
        <w:rPr>
          <w:rFonts w:hint="eastAsia" w:ascii="宋体" w:hAnsi="宋体" w:eastAsia="宋体" w:cs="宋体"/>
          <w:sz w:val="24"/>
          <w:szCs w:val="24"/>
          <w:highlight w:val="none"/>
        </w:rPr>
        <w:t>云网络</w:t>
      </w:r>
      <w:r>
        <w:rPr>
          <w:rStyle w:val="11"/>
          <w:rFonts w:hint="eastAsia" w:ascii="宋体" w:hAnsi="宋体" w:eastAsia="宋体" w:cs="宋体"/>
          <w:color w:val="auto"/>
          <w:sz w:val="24"/>
          <w:szCs w:val="24"/>
          <w:highlight w:val="none"/>
          <w:lang w:val="en-US" w:eastAsia="zh-CN"/>
        </w:rPr>
        <w:t>服务</w:t>
      </w:r>
    </w:p>
    <w:p w14:paraId="4EE6376F">
      <w:pPr>
        <w:pStyle w:val="15"/>
        <w:numPr>
          <w:ilvl w:val="0"/>
          <w:numId w:val="18"/>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可提供IPV4/IPV6互联网IP 地址租用服务</w:t>
      </w:r>
    </w:p>
    <w:p w14:paraId="4A3EBCAB">
      <w:pPr>
        <w:pStyle w:val="15"/>
        <w:numPr>
          <w:ilvl w:val="0"/>
          <w:numId w:val="18"/>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#支持IPV6地址分配，满足业务系统IPV6改造要求；确保政务云政务外网区、互联网区应配置独立的IPv6 资源池承载 IPv6应用。</w:t>
      </w:r>
      <w:r>
        <w:rPr>
          <w:rFonts w:hint="eastAsia" w:ascii="宋体" w:hAnsi="宋体" w:eastAsia="宋体" w:cs="宋体"/>
          <w:sz w:val="24"/>
          <w:szCs w:val="24"/>
          <w:highlight w:val="none"/>
          <w:lang w:val="en-US" w:eastAsia="zh-CN"/>
        </w:rPr>
        <w:t>提供实现连通IPV6的截图。</w:t>
      </w:r>
    </w:p>
    <w:p w14:paraId="502F3804">
      <w:pPr>
        <w:pStyle w:val="6"/>
        <w:spacing w:line="360" w:lineRule="auto"/>
        <w:ind w:left="178" w:leftChars="85"/>
        <w:rPr>
          <w:rFonts w:hint="eastAsia" w:ascii="宋体" w:hAnsi="宋体" w:eastAsia="宋体" w:cs="宋体"/>
          <w:sz w:val="24"/>
          <w:szCs w:val="24"/>
          <w:highlight w:val="none"/>
          <w:lang w:val="en-US" w:eastAsia="zh-CN"/>
        </w:rPr>
      </w:pPr>
      <w:bookmarkStart w:id="37" w:name="_Toc183097673"/>
      <w:r>
        <w:rPr>
          <w:rFonts w:hint="eastAsia" w:ascii="宋体" w:hAnsi="宋体" w:eastAsia="宋体" w:cs="宋体"/>
          <w:sz w:val="24"/>
          <w:szCs w:val="24"/>
          <w:highlight w:val="none"/>
          <w:lang w:eastAsia="zh"/>
        </w:rPr>
        <w:t>5、</w:t>
      </w:r>
      <w:r>
        <w:rPr>
          <w:rFonts w:hint="eastAsia" w:ascii="宋体" w:hAnsi="宋体" w:eastAsia="宋体" w:cs="宋体"/>
          <w:sz w:val="24"/>
          <w:szCs w:val="24"/>
          <w:highlight w:val="none"/>
        </w:rPr>
        <w:t>云运维</w:t>
      </w:r>
      <w:bookmarkEnd w:id="37"/>
      <w:r>
        <w:rPr>
          <w:rFonts w:hint="eastAsia" w:ascii="宋体" w:hAnsi="宋体" w:eastAsia="宋体" w:cs="宋体"/>
          <w:sz w:val="24"/>
          <w:szCs w:val="24"/>
          <w:highlight w:val="none"/>
          <w:lang w:val="en-US" w:eastAsia="zh-CN"/>
        </w:rPr>
        <w:t>服务</w:t>
      </w:r>
    </w:p>
    <w:p w14:paraId="1610169A">
      <w:pPr>
        <w:pStyle w:val="15"/>
        <w:numPr>
          <w:ilvl w:val="0"/>
          <w:numId w:val="19"/>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按照采购人的有关管理规定及各个应用系统云主机深度监控的具体需求，提供各应用系统所需云主机深度监控服务。提供云主机深度监控服务需做好与采购人的协调沟通工作。</w:t>
      </w:r>
    </w:p>
    <w:p w14:paraId="248A3817">
      <w:pPr>
        <w:pStyle w:val="15"/>
        <w:numPr>
          <w:ilvl w:val="0"/>
          <w:numId w:val="19"/>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提供可以独立部署的自动化运维工具和自动化运维平台，自动化运维工具支持自动化巡检、云平台补丁自动分发、批量远程脚本执行等功能；提供的自动化运维平台支持自动告警、运维即时通讯工具、告警升级、工单与故障报告自动分发和认领等功能。</w:t>
      </w:r>
    </w:p>
    <w:p w14:paraId="4CA7E961">
      <w:pPr>
        <w:pStyle w:val="6"/>
        <w:spacing w:line="360" w:lineRule="auto"/>
        <w:ind w:left="178" w:leftChars="85"/>
        <w:rPr>
          <w:rFonts w:hint="eastAsia" w:ascii="宋体" w:hAnsi="宋体" w:eastAsia="宋体" w:cs="宋体"/>
          <w:sz w:val="24"/>
          <w:szCs w:val="24"/>
          <w:highlight w:val="none"/>
        </w:rPr>
      </w:pPr>
      <w:bookmarkStart w:id="38" w:name="_Toc183097674"/>
      <w:r>
        <w:rPr>
          <w:rFonts w:hint="eastAsia" w:ascii="宋体" w:hAnsi="宋体" w:eastAsia="宋体" w:cs="宋体"/>
          <w:sz w:val="24"/>
          <w:szCs w:val="24"/>
          <w:highlight w:val="none"/>
          <w:lang w:eastAsia="zh"/>
        </w:rPr>
        <w:t>6、</w:t>
      </w:r>
      <w:r>
        <w:rPr>
          <w:rFonts w:hint="eastAsia" w:ascii="宋体" w:hAnsi="宋体" w:eastAsia="宋体" w:cs="宋体"/>
          <w:sz w:val="24"/>
          <w:szCs w:val="24"/>
          <w:highlight w:val="none"/>
        </w:rPr>
        <w:t>云安全</w:t>
      </w:r>
      <w:bookmarkEnd w:id="38"/>
    </w:p>
    <w:p w14:paraId="78F51145">
      <w:pPr>
        <w:pStyle w:val="15"/>
        <w:numPr>
          <w:ilvl w:val="0"/>
          <w:numId w:val="20"/>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的有关管理规定提供云安全服务。提供云安全服务包括：防病毒（按主机数购买）、云防火墙（含IPS＋IDS＋防病毒）、堡垒机（每套200资产）、数据库审计服务（1套含10点位）、主机日志审计（200监控点位）、网页防篡改（按监控点位计费）、WEB应用防火墙（含WAF＋防篡改）等。</w:t>
      </w:r>
    </w:p>
    <w:p w14:paraId="67159942">
      <w:pPr>
        <w:pStyle w:val="4"/>
        <w:spacing w:line="360" w:lineRule="auto"/>
        <w:ind w:left="178" w:leftChars="85"/>
        <w:rPr>
          <w:rFonts w:hint="eastAsia" w:ascii="宋体" w:hAnsi="宋体" w:eastAsia="宋体" w:cs="宋体"/>
          <w:sz w:val="24"/>
          <w:szCs w:val="24"/>
          <w:highlight w:val="none"/>
        </w:rPr>
      </w:pPr>
      <w:bookmarkStart w:id="39" w:name="_Toc183097675"/>
      <w:r>
        <w:rPr>
          <w:rFonts w:hint="eastAsia" w:ascii="宋体" w:hAnsi="宋体" w:eastAsia="宋体" w:cs="宋体"/>
          <w:sz w:val="24"/>
          <w:szCs w:val="24"/>
          <w:highlight w:val="none"/>
          <w:lang w:eastAsia="zh"/>
        </w:rPr>
        <w:t>六</w:t>
      </w:r>
      <w:r>
        <w:rPr>
          <w:rFonts w:hint="eastAsia" w:ascii="宋体" w:hAnsi="宋体" w:eastAsia="宋体" w:cs="宋体"/>
          <w:sz w:val="24"/>
          <w:szCs w:val="24"/>
          <w:highlight w:val="none"/>
        </w:rPr>
        <w:t>、采购目标</w:t>
      </w:r>
      <w:bookmarkEnd w:id="39"/>
    </w:p>
    <w:p w14:paraId="2FC6381E">
      <w:pPr>
        <w:snapToGrid w:val="0"/>
        <w:spacing w:line="360" w:lineRule="auto"/>
        <w:ind w:left="178" w:leftChars="85" w:firstLine="480" w:firstLineChars="200"/>
        <w:rPr>
          <w:rFonts w:hint="eastAsia" w:ascii="宋体" w:hAnsi="宋体" w:eastAsia="宋体" w:cs="宋体"/>
          <w:sz w:val="24"/>
          <w:szCs w:val="24"/>
          <w:highlight w:val="none"/>
          <w:lang w:val="en-US"/>
        </w:rPr>
      </w:pPr>
      <w:r>
        <w:rPr>
          <w:rFonts w:hint="eastAsia" w:ascii="宋体" w:hAnsi="宋体" w:eastAsia="宋体" w:cs="宋体"/>
          <w:bCs/>
          <w:sz w:val="24"/>
          <w:szCs w:val="24"/>
          <w:highlight w:val="none"/>
        </w:rPr>
        <w:t>本项目的总体目标是通过租用政务云服务，对北京城市图书馆</w:t>
      </w:r>
      <w:r>
        <w:rPr>
          <w:rFonts w:hint="eastAsia" w:ascii="宋体" w:hAnsi="宋体" w:eastAsia="宋体" w:cs="宋体"/>
          <w:bCs/>
          <w:sz w:val="24"/>
          <w:szCs w:val="24"/>
          <w:highlight w:val="none"/>
          <w:lang w:eastAsia="zh"/>
        </w:rPr>
        <w:t>信息化服务平台包含，</w:t>
      </w:r>
      <w:r>
        <w:rPr>
          <w:rFonts w:hint="eastAsia" w:ascii="宋体" w:hAnsi="宋体" w:eastAsia="宋体" w:cs="宋体"/>
          <w:sz w:val="24"/>
          <w:szCs w:val="24"/>
          <w:highlight w:val="none"/>
          <w:lang w:val="en-US" w:eastAsia="zh-CN" w:bidi="ar"/>
        </w:rPr>
        <w:t>资源管理、读者服务、运营管理、分析决策、综合事务管理、虚拟图书馆、运维管理等七大业务系统，数据中台、业务中台、AI技术中台三个支撑中台，共包含 46 个子系统、1700余项功能</w:t>
      </w:r>
      <w:r>
        <w:rPr>
          <w:rFonts w:hint="eastAsia" w:ascii="宋体" w:hAnsi="宋体" w:eastAsia="宋体" w:cs="宋体"/>
          <w:bCs/>
          <w:sz w:val="24"/>
          <w:szCs w:val="24"/>
          <w:highlight w:val="none"/>
        </w:rPr>
        <w:t>，提供可靠、稳定、安全的政务云服务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保障其安全稳定的运行。</w:t>
      </w:r>
    </w:p>
    <w:p w14:paraId="33346C80">
      <w:pPr>
        <w:pStyle w:val="4"/>
        <w:spacing w:line="360" w:lineRule="auto"/>
        <w:ind w:left="178" w:leftChars="85"/>
        <w:rPr>
          <w:rFonts w:hint="eastAsia" w:ascii="宋体" w:hAnsi="宋体" w:eastAsia="宋体" w:cs="宋体"/>
          <w:sz w:val="24"/>
          <w:szCs w:val="24"/>
          <w:highlight w:val="none"/>
        </w:rPr>
      </w:pPr>
      <w:bookmarkStart w:id="40" w:name="_Toc183097676"/>
      <w:r>
        <w:rPr>
          <w:rFonts w:hint="eastAsia" w:ascii="宋体" w:hAnsi="宋体" w:eastAsia="宋体" w:cs="宋体"/>
          <w:sz w:val="24"/>
          <w:szCs w:val="24"/>
          <w:highlight w:val="none"/>
          <w:lang w:eastAsia="zh"/>
        </w:rPr>
        <w:t>七</w:t>
      </w:r>
      <w:r>
        <w:rPr>
          <w:rFonts w:hint="eastAsia" w:ascii="宋体" w:hAnsi="宋体" w:eastAsia="宋体" w:cs="宋体"/>
          <w:sz w:val="24"/>
          <w:szCs w:val="24"/>
          <w:highlight w:val="none"/>
        </w:rPr>
        <w:t>、服务内容与服务标准</w:t>
      </w:r>
      <w:bookmarkEnd w:id="40"/>
    </w:p>
    <w:p w14:paraId="5C55AFBF">
      <w:pPr>
        <w:pStyle w:val="5"/>
        <w:numPr>
          <w:ilvl w:val="0"/>
          <w:numId w:val="21"/>
        </w:numPr>
        <w:tabs>
          <w:tab w:val="left" w:pos="360"/>
        </w:tabs>
        <w:spacing w:line="360" w:lineRule="auto"/>
        <w:ind w:left="420" w:leftChars="200" w:firstLine="0"/>
        <w:rPr>
          <w:rFonts w:hint="eastAsia" w:ascii="宋体" w:hAnsi="宋体" w:eastAsia="宋体" w:cs="宋体"/>
          <w:sz w:val="24"/>
          <w:szCs w:val="24"/>
          <w:highlight w:val="none"/>
        </w:rPr>
      </w:pPr>
      <w:bookmarkStart w:id="41" w:name="_Toc183097680"/>
      <w:bookmarkStart w:id="42" w:name="_Toc183097677"/>
      <w:r>
        <w:rPr>
          <w:rFonts w:hint="eastAsia" w:ascii="宋体" w:hAnsi="宋体" w:eastAsia="宋体" w:cs="宋体"/>
          <w:sz w:val="24"/>
          <w:szCs w:val="24"/>
          <w:highlight w:val="none"/>
        </w:rPr>
        <w:t>项目实施要求</w:t>
      </w:r>
      <w:bookmarkEnd w:id="41"/>
    </w:p>
    <w:p w14:paraId="0C473836">
      <w:pPr>
        <w:pStyle w:val="15"/>
        <w:numPr>
          <w:ilvl w:val="0"/>
          <w:numId w:val="22"/>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因本项目技术复杂、涉及面较大，为保证在规</w:t>
      </w:r>
      <w:r>
        <w:rPr>
          <w:rFonts w:hint="eastAsia" w:ascii="宋体" w:hAnsi="宋体" w:eastAsia="宋体" w:cs="宋体"/>
          <w:sz w:val="24"/>
          <w:szCs w:val="24"/>
          <w:highlight w:val="none"/>
          <w:lang w:eastAsia="zh"/>
        </w:rPr>
        <w:t>定</w:t>
      </w:r>
      <w:r>
        <w:rPr>
          <w:rFonts w:hint="eastAsia" w:ascii="宋体" w:hAnsi="宋体" w:eastAsia="宋体" w:cs="宋体"/>
          <w:sz w:val="24"/>
          <w:szCs w:val="24"/>
          <w:highlight w:val="none"/>
        </w:rPr>
        <w:t>时间内完成云平台交付，要求投标人需具备政务云项目的实施能力，能够顺利开展项目实施工作.</w:t>
      </w:r>
      <w:r>
        <w:rPr>
          <w:rFonts w:hint="eastAsia" w:ascii="宋体" w:hAnsi="宋体" w:eastAsia="宋体" w:cs="宋体"/>
          <w:sz w:val="24"/>
          <w:szCs w:val="24"/>
          <w:highlight w:val="none"/>
          <w:lang w:eastAsia="zh"/>
        </w:rPr>
        <w:t>应在15个工作内完成所有云服务清单资源的交付。</w:t>
      </w:r>
    </w:p>
    <w:p w14:paraId="086BA1F4">
      <w:pPr>
        <w:pStyle w:val="15"/>
        <w:numPr>
          <w:ilvl w:val="0"/>
          <w:numId w:val="22"/>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投标人根据业务系统的需求出具项目的组织实施方案，包含基础服务与扩展服务实施方案，做到资源与应用系统的匹配。并提出本项目的风险分析及应对措施以及项目的工作管理制度。</w:t>
      </w:r>
    </w:p>
    <w:p w14:paraId="5814FF22">
      <w:pPr>
        <w:pStyle w:val="5"/>
        <w:numPr>
          <w:ilvl w:val="0"/>
          <w:numId w:val="21"/>
        </w:numPr>
        <w:tabs>
          <w:tab w:val="left" w:pos="360"/>
        </w:tabs>
        <w:spacing w:line="360" w:lineRule="auto"/>
        <w:ind w:left="420" w:leftChars="200" w:firstLine="0"/>
        <w:rPr>
          <w:rFonts w:hint="eastAsia" w:ascii="宋体" w:hAnsi="宋体" w:eastAsia="宋体" w:cs="宋体"/>
          <w:sz w:val="24"/>
          <w:szCs w:val="24"/>
          <w:highlight w:val="none"/>
        </w:rPr>
      </w:pPr>
      <w:r>
        <w:rPr>
          <w:rFonts w:hint="eastAsia" w:ascii="宋体" w:hAnsi="宋体" w:eastAsia="宋体" w:cs="宋体"/>
          <w:sz w:val="24"/>
          <w:szCs w:val="24"/>
          <w:highlight w:val="none"/>
          <w:lang w:eastAsia="zh"/>
        </w:rPr>
        <w:t>运维</w:t>
      </w:r>
      <w:r>
        <w:rPr>
          <w:rFonts w:hint="eastAsia" w:ascii="宋体" w:hAnsi="宋体" w:eastAsia="宋体" w:cs="宋体"/>
          <w:sz w:val="24"/>
          <w:szCs w:val="24"/>
          <w:highlight w:val="none"/>
        </w:rPr>
        <w:t>服务</w:t>
      </w:r>
      <w:bookmarkEnd w:id="42"/>
      <w:r>
        <w:rPr>
          <w:rFonts w:hint="eastAsia" w:ascii="宋体" w:hAnsi="宋体" w:eastAsia="宋体" w:cs="宋体"/>
          <w:sz w:val="24"/>
          <w:szCs w:val="24"/>
          <w:highlight w:val="none"/>
          <w:lang w:eastAsia="zh"/>
        </w:rPr>
        <w:t>要求</w:t>
      </w:r>
    </w:p>
    <w:p w14:paraId="7795F7B3">
      <w:pPr>
        <w:pStyle w:val="15"/>
        <w:spacing w:line="360" w:lineRule="auto"/>
        <w:ind w:left="178" w:leftChars="85"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投标人需出具项目日常运维服务方案包含运维管理制度、管理流程、运维服务方案</w:t>
      </w:r>
      <w:r>
        <w:rPr>
          <w:rFonts w:hint="eastAsia" w:ascii="宋体" w:hAnsi="宋体" w:eastAsia="宋体" w:cs="宋体"/>
          <w:sz w:val="24"/>
          <w:szCs w:val="24"/>
          <w:highlight w:val="none"/>
          <w:lang w:val="en-US" w:eastAsia="zh-CN"/>
        </w:rPr>
        <w:t>与业务连续性技术方案</w:t>
      </w:r>
      <w:r>
        <w:rPr>
          <w:rFonts w:hint="eastAsia" w:ascii="宋体" w:hAnsi="宋体" w:eastAsia="宋体" w:cs="宋体"/>
          <w:sz w:val="24"/>
          <w:szCs w:val="24"/>
          <w:highlight w:val="none"/>
        </w:rPr>
        <w:t>。</w:t>
      </w:r>
    </w:p>
    <w:p w14:paraId="562756D6">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投标人须提供服务</w:t>
      </w:r>
      <w:r>
        <w:rPr>
          <w:rFonts w:hint="eastAsia" w:ascii="宋体" w:hAnsi="宋体" w:eastAsia="宋体" w:cs="宋体"/>
          <w:sz w:val="24"/>
          <w:szCs w:val="24"/>
          <w:highlight w:val="none"/>
          <w:lang w:eastAsia="zh"/>
        </w:rPr>
        <w:t>运维</w:t>
      </w:r>
      <w:r>
        <w:rPr>
          <w:rFonts w:hint="eastAsia" w:ascii="宋体" w:hAnsi="宋体" w:eastAsia="宋体" w:cs="宋体"/>
          <w:sz w:val="24"/>
          <w:szCs w:val="24"/>
          <w:highlight w:val="none"/>
        </w:rPr>
        <w:t>保障措施</w:t>
      </w:r>
      <w:r>
        <w:rPr>
          <w:rFonts w:hint="eastAsia" w:ascii="宋体" w:hAnsi="宋体" w:eastAsia="宋体" w:cs="宋体"/>
          <w:sz w:val="24"/>
          <w:szCs w:val="24"/>
          <w:highlight w:val="none"/>
          <w:lang w:eastAsia="zh"/>
        </w:rPr>
        <w:t>，达到技术指标要求，保障业务系统稳定运行，满足采购人对于云资源使用和服务要求</w:t>
      </w:r>
      <w:r>
        <w:rPr>
          <w:rFonts w:hint="eastAsia" w:ascii="宋体" w:hAnsi="宋体" w:eastAsia="宋体" w:cs="宋体"/>
          <w:sz w:val="24"/>
          <w:szCs w:val="24"/>
          <w:highlight w:val="none"/>
        </w:rPr>
        <w:t>；</w:t>
      </w:r>
    </w:p>
    <w:p w14:paraId="4C3FA029">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投标人须提供重点保障服务方案，包含重要时间节点如春节、两会、国庆等重大时间点的重保服务，加大运维保障力度，保证在业务高峰期内系统平稳运行；</w:t>
      </w:r>
    </w:p>
    <w:p w14:paraId="35BE1F9D">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投标人需利用监控系统或人工对机房环境、硬件设备及应用系统的运行情况进行7×24小时的不间断巡检监控，及时发现安全隐患，通知相关人员及时处理，并形成监控报告。</w:t>
      </w:r>
    </w:p>
    <w:p w14:paraId="752C22E6">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38BF808A">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分钟。故障处理完毕后提供相关系统宕机报告。</w:t>
      </w:r>
    </w:p>
    <w:p w14:paraId="6AD893AF">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投标人须每月提供政务云服务报告，对当月政务云服务情况进行总结，包括各类云资源调整、使用及服务情况，以及日常维护、应急值守、故障处置等情况。</w:t>
      </w:r>
    </w:p>
    <w:p w14:paraId="6AEFB359">
      <w:pPr>
        <w:pStyle w:val="15"/>
        <w:numPr>
          <w:ilvl w:val="0"/>
          <w:numId w:val="23"/>
        </w:numPr>
        <w:spacing w:line="360" w:lineRule="auto"/>
        <w:ind w:left="178" w:leftChars="8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服务过程中应具有应对突发威胁风险处置的能力，具备一套系统化、标准化的管理流程和应急机制。能够应对意外破坏性事故，确保业务持续运行。需提供相关证明材料扫描件或对本项目有针对性的</w:t>
      </w:r>
      <w:r>
        <w:rPr>
          <w:rFonts w:hint="eastAsia" w:ascii="宋体" w:hAnsi="宋体" w:eastAsia="宋体" w:cs="宋体"/>
          <w:sz w:val="24"/>
          <w:szCs w:val="24"/>
          <w:highlight w:val="none"/>
          <w:lang w:val="en-US" w:eastAsia="zh-CN"/>
        </w:rPr>
        <w:t>业务连续性</w:t>
      </w:r>
      <w:r>
        <w:rPr>
          <w:rFonts w:hint="eastAsia" w:ascii="宋体" w:hAnsi="宋体" w:eastAsia="宋体" w:cs="宋体"/>
          <w:sz w:val="24"/>
          <w:szCs w:val="24"/>
          <w:highlight w:val="none"/>
        </w:rPr>
        <w:t>技术方案。</w:t>
      </w:r>
    </w:p>
    <w:p w14:paraId="00AC9087">
      <w:pPr>
        <w:pStyle w:val="15"/>
        <w:keepNext w:val="0"/>
        <w:keepLines w:val="0"/>
        <w:widowControl/>
        <w:numPr>
          <w:ilvl w:val="0"/>
          <w:numId w:val="23"/>
        </w:numPr>
        <w:suppressLineNumbers w:val="0"/>
        <w:spacing w:before="0" w:beforeAutospacing="0" w:after="0" w:afterAutospacing="0" w:line="360" w:lineRule="auto"/>
        <w:ind w:left="178" w:leftChars="85" w:right="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14:ligatures w14:val="none"/>
        </w:rPr>
        <w:t>投标人应根据采购人的需要提供培训服务，安排专业讲师，提供培训材料，按照采购人的需要安排培训服务工作等。</w:t>
      </w:r>
    </w:p>
    <w:p w14:paraId="1D772535">
      <w:pPr>
        <w:pStyle w:val="5"/>
        <w:numPr>
          <w:ilvl w:val="0"/>
          <w:numId w:val="21"/>
        </w:numPr>
        <w:tabs>
          <w:tab w:val="left" w:pos="360"/>
        </w:tabs>
        <w:spacing w:line="360" w:lineRule="auto"/>
        <w:ind w:left="420" w:leftChars="200" w:firstLine="0"/>
        <w:rPr>
          <w:rFonts w:hint="eastAsia" w:ascii="宋体" w:hAnsi="宋体" w:eastAsia="宋体" w:cs="宋体"/>
          <w:sz w:val="24"/>
          <w:szCs w:val="24"/>
          <w:highlight w:val="none"/>
        </w:rPr>
      </w:pPr>
      <w:bookmarkStart w:id="43" w:name="_Toc183097678"/>
      <w:r>
        <w:rPr>
          <w:rFonts w:hint="eastAsia" w:ascii="宋体" w:hAnsi="宋体" w:eastAsia="宋体" w:cs="宋体"/>
          <w:sz w:val="24"/>
          <w:szCs w:val="24"/>
          <w:highlight w:val="none"/>
        </w:rPr>
        <w:t>安全及保密要求</w:t>
      </w:r>
      <w:bookmarkEnd w:id="43"/>
    </w:p>
    <w:p w14:paraId="1B4F73C0">
      <w:pPr>
        <w:pStyle w:val="15"/>
        <w:spacing w:line="360" w:lineRule="auto"/>
        <w:ind w:left="178" w:leftChars="85" w:firstLine="48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北京城市图书馆</w:t>
      </w:r>
      <w:r>
        <w:rPr>
          <w:rFonts w:hint="eastAsia" w:ascii="宋体" w:hAnsi="宋体" w:eastAsia="宋体" w:cs="宋体"/>
          <w:sz w:val="24"/>
          <w:szCs w:val="24"/>
          <w:highlight w:val="none"/>
        </w:rPr>
        <w:t>业务系统</w:t>
      </w:r>
      <w:r>
        <w:rPr>
          <w:rFonts w:hint="eastAsia" w:ascii="宋体" w:hAnsi="宋体" w:eastAsia="宋体" w:cs="宋体"/>
          <w:sz w:val="24"/>
          <w:szCs w:val="24"/>
          <w:highlight w:val="none"/>
          <w:lang w:val="en-US" w:eastAsia="zh-CN"/>
        </w:rPr>
        <w:t>已部署</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政务</w:t>
      </w:r>
      <w:r>
        <w:rPr>
          <w:rFonts w:hint="eastAsia" w:ascii="宋体" w:hAnsi="宋体" w:eastAsia="宋体" w:cs="宋体"/>
          <w:sz w:val="24"/>
          <w:szCs w:val="24"/>
          <w:highlight w:val="none"/>
        </w:rPr>
        <w:t>云</w:t>
      </w:r>
      <w:r>
        <w:rPr>
          <w:rFonts w:hint="eastAsia" w:ascii="宋体" w:hAnsi="宋体" w:eastAsia="宋体" w:cs="宋体"/>
          <w:sz w:val="24"/>
          <w:szCs w:val="24"/>
          <w:highlight w:val="none"/>
          <w:lang w:val="en-US" w:eastAsia="zh-CN"/>
        </w:rPr>
        <w:t>中且平</w:t>
      </w:r>
      <w:r>
        <w:rPr>
          <w:rFonts w:hint="eastAsia" w:ascii="宋体" w:hAnsi="宋体" w:eastAsia="宋体" w:cs="宋体"/>
          <w:sz w:val="24"/>
          <w:szCs w:val="24"/>
          <w:highlight w:val="none"/>
        </w:rPr>
        <w:t>稳运行。投标人应提供安全防护方案包含项目安全需求分析、安全服务方案</w:t>
      </w:r>
      <w:r>
        <w:rPr>
          <w:rFonts w:hint="eastAsia" w:ascii="宋体" w:hAnsi="宋体" w:eastAsia="宋体" w:cs="宋体"/>
          <w:sz w:val="24"/>
          <w:szCs w:val="24"/>
          <w:highlight w:val="none"/>
          <w:lang w:val="en-US" w:eastAsia="zh-CN"/>
        </w:rPr>
        <w:t>与隐私信息保护方案。</w:t>
      </w:r>
      <w:r>
        <w:rPr>
          <w:rFonts w:hint="eastAsia" w:ascii="宋体" w:hAnsi="宋体" w:eastAsia="宋体" w:cs="宋体"/>
          <w:sz w:val="24"/>
          <w:szCs w:val="24"/>
          <w:highlight w:val="none"/>
        </w:rPr>
        <w:t>具体要求如下：</w:t>
      </w:r>
    </w:p>
    <w:p w14:paraId="29470719">
      <w:pPr>
        <w:rPr>
          <w:rFonts w:hint="eastAsia" w:ascii="宋体" w:hAnsi="宋体" w:eastAsia="宋体" w:cs="宋体"/>
          <w:sz w:val="24"/>
          <w:szCs w:val="24"/>
          <w:highlight w:val="none"/>
        </w:rPr>
      </w:pPr>
    </w:p>
    <w:p w14:paraId="0BF24A4A">
      <w:pPr>
        <w:pStyle w:val="15"/>
        <w:numPr>
          <w:ilvl w:val="0"/>
          <w:numId w:val="24"/>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投标人应保证业务应用系统的支撑环境，包括但不限于服务器、网络、存储等相关物理环境能满足安全三级等保要求，依据采购需求向采购人提供本次项目中所涉及安全服务内容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并协助业务系统满足未来网络安全等保调整的要求</w:t>
      </w:r>
      <w:r>
        <w:rPr>
          <w:rFonts w:hint="eastAsia" w:ascii="宋体" w:hAnsi="宋体" w:eastAsia="宋体" w:cs="宋体"/>
          <w:sz w:val="24"/>
          <w:szCs w:val="24"/>
          <w:highlight w:val="none"/>
        </w:rPr>
        <w:t>。</w:t>
      </w:r>
    </w:p>
    <w:p w14:paraId="425A7D05">
      <w:pPr>
        <w:pStyle w:val="15"/>
        <w:numPr>
          <w:ilvl w:val="0"/>
          <w:numId w:val="24"/>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严格遵守采购人的相关信息安全规定，不得利用系统维护服务时的便利对采购人数据及其他信息擅自修改或透漏给第三方。满足隐私信息保护要求，对隐私信息风险进行识别、分析，实现隐私信息保护管理合规目标，减轻降低合规风险，实现长期、持久的个人隐私信息安全合规。需提供相关证明材料扫描件</w:t>
      </w:r>
      <w:r>
        <w:rPr>
          <w:rFonts w:hint="eastAsia"/>
          <w:highlight w:val="none"/>
          <w:lang w:val="en-US" w:eastAsia="zh-CN"/>
        </w:rPr>
        <w:t>或复印件</w:t>
      </w:r>
      <w:r>
        <w:rPr>
          <w:rFonts w:hint="eastAsia" w:ascii="宋体" w:hAnsi="宋体" w:eastAsia="宋体" w:cs="宋体"/>
          <w:sz w:val="24"/>
          <w:szCs w:val="24"/>
          <w:highlight w:val="none"/>
        </w:rPr>
        <w:t>对本项目有针对性的</w:t>
      </w:r>
      <w:r>
        <w:rPr>
          <w:rFonts w:hint="eastAsia" w:ascii="宋体" w:hAnsi="宋体" w:eastAsia="宋体" w:cs="宋体"/>
          <w:sz w:val="24"/>
          <w:szCs w:val="24"/>
          <w:highlight w:val="none"/>
          <w:lang w:val="en-US" w:eastAsia="zh-CN"/>
        </w:rPr>
        <w:t>隐私信息保护</w:t>
      </w:r>
      <w:r>
        <w:rPr>
          <w:rFonts w:hint="eastAsia" w:ascii="宋体" w:hAnsi="宋体" w:eastAsia="宋体" w:cs="宋体"/>
          <w:sz w:val="24"/>
          <w:szCs w:val="24"/>
          <w:highlight w:val="none"/>
        </w:rPr>
        <w:t>方案。</w:t>
      </w:r>
    </w:p>
    <w:p w14:paraId="205D0205">
      <w:pPr>
        <w:pStyle w:val="5"/>
        <w:numPr>
          <w:ilvl w:val="0"/>
          <w:numId w:val="21"/>
        </w:numPr>
        <w:tabs>
          <w:tab w:val="left" w:pos="360"/>
        </w:tabs>
        <w:spacing w:line="360" w:lineRule="auto"/>
        <w:ind w:left="420" w:leftChars="200" w:firstLine="0"/>
        <w:rPr>
          <w:rFonts w:hint="eastAsia" w:ascii="宋体" w:hAnsi="宋体" w:eastAsia="宋体" w:cs="宋体"/>
          <w:sz w:val="24"/>
          <w:szCs w:val="24"/>
          <w:highlight w:val="none"/>
        </w:rPr>
      </w:pPr>
      <w:bookmarkStart w:id="44" w:name="_Toc183097681"/>
      <w:r>
        <w:rPr>
          <w:rFonts w:hint="eastAsia" w:ascii="宋体" w:hAnsi="宋体" w:eastAsia="宋体" w:cs="宋体"/>
          <w:sz w:val="24"/>
          <w:szCs w:val="24"/>
          <w:highlight w:val="none"/>
        </w:rPr>
        <w:t>迁移服务要求</w:t>
      </w:r>
      <w:bookmarkEnd w:id="44"/>
    </w:p>
    <w:p w14:paraId="2CDEF410">
      <w:pPr>
        <w:pStyle w:val="15"/>
        <w:spacing w:line="360" w:lineRule="auto"/>
        <w:ind w:left="178" w:leftChars="85"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业务系统属于生产系统，已部署在</w:t>
      </w:r>
      <w:r>
        <w:rPr>
          <w:rFonts w:hint="eastAsia" w:ascii="宋体" w:hAnsi="宋体" w:eastAsia="宋体" w:cs="宋体"/>
          <w:sz w:val="24"/>
          <w:szCs w:val="24"/>
          <w:highlight w:val="none"/>
          <w:lang w:val="en-US" w:eastAsia="zh-CN"/>
        </w:rPr>
        <w:t>政务云</w:t>
      </w:r>
      <w:r>
        <w:rPr>
          <w:rFonts w:hint="eastAsia" w:ascii="宋体" w:hAnsi="宋体" w:eastAsia="宋体" w:cs="宋体"/>
          <w:sz w:val="24"/>
          <w:szCs w:val="24"/>
          <w:highlight w:val="none"/>
        </w:rPr>
        <w:t>云平台平稳运行。保障业务系统连续性是关键。如涉及业务迁移，保障在业务不中断的前提下进行迁移，自合同生效之日起根据业务的实际运行情况，在3个月内完成全部系统迁移。投标人需根据业务特点制定迁移方案，包含迁移需求分析、风险分析及应对措施、迁移服务方案。配合采购人完成系统迁移部署、运行和安全保障，最终保证现有业务系统可平滑迁移。具体要求如下：</w:t>
      </w:r>
    </w:p>
    <w:p w14:paraId="192E65DA">
      <w:pPr>
        <w:pStyle w:val="15"/>
        <w:numPr>
          <w:ilvl w:val="0"/>
          <w:numId w:val="25"/>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提供业务系统应用迁移部署方案，包含且不限于国产化环境下的应用迁移，非国产化环境向国产化环境的迁移。</w:t>
      </w:r>
    </w:p>
    <w:p w14:paraId="08165680">
      <w:pPr>
        <w:pStyle w:val="15"/>
        <w:numPr>
          <w:ilvl w:val="0"/>
          <w:numId w:val="25"/>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提供数据迁移部署方案，确保数据迁移后业务系统的可用性，降低数据迁移对应用系统正常运行所带来的风险。</w:t>
      </w:r>
    </w:p>
    <w:p w14:paraId="27556B44">
      <w:pPr>
        <w:pStyle w:val="15"/>
        <w:numPr>
          <w:ilvl w:val="0"/>
          <w:numId w:val="25"/>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投标人承诺应用系统迁移及此项工作产生的相关费用，包括但不限于迁移产生的资源费用、系统开发商费用、原服务商迁出相关费用。</w:t>
      </w:r>
    </w:p>
    <w:p w14:paraId="5154A278">
      <w:pPr>
        <w:pStyle w:val="15"/>
        <w:numPr>
          <w:ilvl w:val="0"/>
          <w:numId w:val="25"/>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投标人承诺在迁移过程中保障业务不中断，迁移过程中不影响业务系统的正常运行。</w:t>
      </w:r>
    </w:p>
    <w:p w14:paraId="55A8DCBA">
      <w:pPr>
        <w:pStyle w:val="15"/>
        <w:numPr>
          <w:ilvl w:val="0"/>
          <w:numId w:val="25"/>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投标人在3个月内若未完成</w:t>
      </w:r>
      <w:r>
        <w:rPr>
          <w:rFonts w:hint="eastAsia" w:ascii="宋体" w:hAnsi="宋体" w:eastAsia="宋体" w:cs="宋体"/>
          <w:sz w:val="24"/>
          <w:szCs w:val="24"/>
          <w:highlight w:val="none"/>
          <w:lang w:eastAsia="zh"/>
        </w:rPr>
        <w:t>迁移工作，</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
        </w:rPr>
        <w:t>需</w:t>
      </w:r>
      <w:r>
        <w:rPr>
          <w:rFonts w:hint="eastAsia" w:ascii="宋体" w:hAnsi="宋体" w:eastAsia="宋体" w:cs="宋体"/>
          <w:sz w:val="24"/>
          <w:szCs w:val="24"/>
          <w:highlight w:val="none"/>
        </w:rPr>
        <w:t>承担原云服务商提供的政务云资源费用。</w:t>
      </w:r>
    </w:p>
    <w:p w14:paraId="27F678F8">
      <w:pPr>
        <w:pStyle w:val="5"/>
        <w:numPr>
          <w:ilvl w:val="0"/>
          <w:numId w:val="21"/>
        </w:numPr>
        <w:tabs>
          <w:tab w:val="left" w:pos="360"/>
        </w:tabs>
        <w:spacing w:line="360" w:lineRule="auto"/>
        <w:ind w:left="420" w:leftChars="200"/>
        <w:rPr>
          <w:rFonts w:hint="eastAsia" w:ascii="宋体" w:hAnsi="宋体" w:eastAsia="宋体" w:cs="宋体"/>
          <w:sz w:val="24"/>
          <w:szCs w:val="24"/>
          <w:highlight w:val="none"/>
        </w:rPr>
      </w:pPr>
      <w:bookmarkStart w:id="45" w:name="_Toc183097683"/>
      <w:r>
        <w:rPr>
          <w:rFonts w:hint="eastAsia" w:ascii="宋体" w:hAnsi="宋体" w:eastAsia="宋体" w:cs="宋体"/>
          <w:sz w:val="24"/>
          <w:szCs w:val="24"/>
          <w:highlight w:val="none"/>
        </w:rPr>
        <w:t>知识产权要求</w:t>
      </w:r>
    </w:p>
    <w:p w14:paraId="2009A3A5">
      <w:pPr>
        <w:pStyle w:val="15"/>
        <w:numPr>
          <w:ilvl w:val="0"/>
          <w:numId w:val="26"/>
        </w:numPr>
        <w:snapToGrid w:val="0"/>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投标人应确保本项目所提交成果无知识产权纠纷，项目成果的知识产权属于项目委托方。须在响应文件中对此项作出专项承诺，格式自拟。</w:t>
      </w:r>
    </w:p>
    <w:p w14:paraId="6E444E90">
      <w:pPr>
        <w:pStyle w:val="15"/>
        <w:numPr>
          <w:ilvl w:val="0"/>
          <w:numId w:val="26"/>
        </w:numPr>
        <w:spacing w:line="360" w:lineRule="auto"/>
        <w:ind w:left="425" w:leftChars="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65480C1F">
      <w:pPr>
        <w:numPr>
          <w:ilvl w:val="-1"/>
          <w:numId w:val="0"/>
        </w:numPr>
        <w:spacing w:line="360" w:lineRule="auto"/>
        <w:ind w:left="0" w:leftChars="0" w:firstLine="0" w:firstLineChars="0"/>
        <w:rPr>
          <w:rFonts w:hint="eastAsia" w:ascii="宋体" w:hAnsi="宋体" w:eastAsia="宋体" w:cs="宋体"/>
          <w:sz w:val="24"/>
          <w:szCs w:val="24"/>
          <w:highlight w:val="none"/>
        </w:rPr>
      </w:pPr>
    </w:p>
    <w:p w14:paraId="5D60AE98">
      <w:pPr>
        <w:pStyle w:val="5"/>
        <w:numPr>
          <w:ilvl w:val="0"/>
          <w:numId w:val="21"/>
        </w:numPr>
        <w:tabs>
          <w:tab w:val="left" w:pos="360"/>
        </w:tabs>
        <w:spacing w:line="360" w:lineRule="auto"/>
        <w:ind w:left="420" w:leftChars="20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验收服务</w:t>
      </w:r>
      <w:r>
        <w:rPr>
          <w:rFonts w:hint="eastAsia" w:ascii="宋体" w:hAnsi="宋体" w:eastAsia="宋体" w:cs="宋体"/>
          <w:sz w:val="24"/>
          <w:szCs w:val="24"/>
          <w:highlight w:val="none"/>
          <w:lang w:val="en-US" w:eastAsia="zh-CN"/>
        </w:rPr>
        <w:t>要求</w:t>
      </w:r>
    </w:p>
    <w:p w14:paraId="4697EBF2">
      <w:pPr>
        <w:pStyle w:val="7"/>
        <w:snapToGrid w:val="0"/>
        <w:spacing w:line="360" w:lineRule="auto"/>
        <w:ind w:left="0" w:leftChars="0"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按照采购需求中的要求，落实所有项目执行内容，并在验收阶段提供事实依据。配合采购人落实项目实施工作，达到绩效指标。</w:t>
      </w:r>
    </w:p>
    <w:p w14:paraId="3D73642C">
      <w:pPr>
        <w:pStyle w:val="4"/>
        <w:spacing w:line="360" w:lineRule="auto"/>
        <w:ind w:left="178" w:leftChars="85"/>
        <w:rPr>
          <w:rFonts w:hint="eastAsia" w:ascii="宋体" w:hAnsi="宋体" w:eastAsia="宋体" w:cs="宋体"/>
          <w:sz w:val="24"/>
          <w:szCs w:val="24"/>
          <w:highlight w:val="none"/>
        </w:rPr>
      </w:pPr>
      <w:r>
        <w:rPr>
          <w:rFonts w:hint="eastAsia" w:ascii="宋体" w:hAnsi="宋体" w:eastAsia="宋体" w:cs="宋体"/>
          <w:sz w:val="24"/>
          <w:szCs w:val="24"/>
          <w:highlight w:val="none"/>
          <w:lang w:eastAsia="zh"/>
        </w:rPr>
        <w:t>八</w:t>
      </w:r>
      <w:r>
        <w:rPr>
          <w:rFonts w:hint="eastAsia" w:ascii="宋体" w:hAnsi="宋体" w:eastAsia="宋体" w:cs="宋体"/>
          <w:sz w:val="24"/>
          <w:szCs w:val="24"/>
          <w:highlight w:val="none"/>
        </w:rPr>
        <w:t>、运维团队要求</w:t>
      </w:r>
      <w:bookmarkEnd w:id="45"/>
    </w:p>
    <w:p w14:paraId="619D3EB2">
      <w:pPr>
        <w:pStyle w:val="7"/>
        <w:snapToGrid w:val="0"/>
        <w:spacing w:line="360" w:lineRule="auto"/>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rPr>
        <w:t>提供1名专职项目经理。要求本科及以上学历，</w:t>
      </w:r>
      <w:r>
        <w:rPr>
          <w:rFonts w:hint="eastAsia" w:ascii="宋体" w:hAnsi="宋体" w:eastAsia="宋体" w:cs="宋体"/>
          <w:sz w:val="24"/>
          <w:szCs w:val="24"/>
          <w:highlight w:val="none"/>
          <w:lang w:val="en-US" w:eastAsia="zh-CN"/>
        </w:rPr>
        <w:t>要求有5年及以上类似工作经验，须</w:t>
      </w:r>
      <w:r>
        <w:rPr>
          <w:rFonts w:hint="eastAsia" w:ascii="宋体" w:hAnsi="宋体" w:eastAsia="宋体" w:cs="宋体"/>
          <w:sz w:val="24"/>
          <w:szCs w:val="24"/>
          <w:highlight w:val="none"/>
        </w:rPr>
        <w:t>具备信息系统项目管理师（高级）证书（投标人提供相关信息系统项目管理师证书扫描件或复印件以及劳动关系证明）。</w:t>
      </w:r>
    </w:p>
    <w:p w14:paraId="3E72B135">
      <w:pPr>
        <w:pStyle w:val="7"/>
        <w:snapToGrid w:val="0"/>
        <w:spacing w:line="360" w:lineRule="auto"/>
        <w:ind w:left="0" w:leftChars="0"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提供的项目服务团队专职人员，至少包含1名注册信息安全工程师，1名网络规划设计师，1名信息系统项目管理师，1名数据库系统工程师。服务团队成员需提供（1）注册信息安全工程师具有CISP证书、（2）网络规划设计师具有网络规划设计师（高级）证书、（3）信息系统项目管理师具有信息系统项目管理师证书、（4）数据库系统工程师具有数据库系统工程师证书（投标人提供相关证书扫描件或复印件以及劳动关系证明）。</w:t>
      </w:r>
    </w:p>
    <w:p w14:paraId="128AF12E">
      <w:pPr>
        <w:pStyle w:val="15"/>
        <w:numPr>
          <w:ilvl w:val="-1"/>
          <w:numId w:val="0"/>
        </w:numPr>
        <w:spacing w:line="360" w:lineRule="auto"/>
        <w:ind w:left="178" w:leftChars="85" w:firstLine="0" w:firstLineChars="0"/>
        <w:rPr>
          <w:rFonts w:hint="eastAsia" w:ascii="宋体" w:hAnsi="宋体" w:eastAsia="宋体" w:cs="宋体"/>
          <w:sz w:val="24"/>
          <w:szCs w:val="24"/>
          <w:highlight w:val="none"/>
        </w:rPr>
      </w:pPr>
    </w:p>
    <w:p w14:paraId="0E58F025">
      <w:pPr>
        <w:pStyle w:val="7"/>
        <w:snapToGrid w:val="0"/>
        <w:spacing w:line="360" w:lineRule="auto"/>
        <w:ind w:left="0" w:leftChars="0" w:firstLine="48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投标人应承诺为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提供至少一名专业技术人员提供5x8驻场服务，驻场地点由</w:t>
      </w:r>
      <w:r>
        <w:rPr>
          <w:rFonts w:hint="eastAsia" w:hAnsi="宋体" w:cs="宋体"/>
          <w:sz w:val="24"/>
          <w:szCs w:val="24"/>
          <w:highlight w:val="none"/>
          <w:lang w:val="en-US" w:eastAsia="zh-CN"/>
        </w:rPr>
        <w:t>采购</w:t>
      </w:r>
      <w:r>
        <w:rPr>
          <w:rFonts w:hint="eastAsia" w:ascii="宋体" w:hAnsi="宋体" w:eastAsia="宋体" w:cs="宋体"/>
          <w:sz w:val="24"/>
          <w:szCs w:val="24"/>
          <w:highlight w:val="none"/>
        </w:rPr>
        <w:t>人指定，主要工作包含但不限于云效率统计、云资源调整及安防工作协调、</w:t>
      </w:r>
      <w:r>
        <w:rPr>
          <w:rFonts w:hint="eastAsia" w:ascii="宋体" w:hAnsi="宋体" w:eastAsia="宋体" w:cs="宋体"/>
          <w:sz w:val="24"/>
          <w:szCs w:val="24"/>
          <w:highlight w:val="none"/>
          <w:lang w:val="en-US" w:eastAsia="zh-CN"/>
        </w:rPr>
        <w:t>资源使用清单整理，云资源合理性分析，项目定期报告输出</w:t>
      </w:r>
      <w:r>
        <w:rPr>
          <w:rFonts w:hint="eastAsia" w:ascii="宋体" w:hAnsi="宋体" w:eastAsia="宋体" w:cs="宋体"/>
          <w:sz w:val="24"/>
          <w:szCs w:val="24"/>
          <w:highlight w:val="none"/>
        </w:rPr>
        <w:t>等。投标人提供承诺函，格式自拟。</w:t>
      </w:r>
    </w:p>
    <w:p w14:paraId="21E72AD9">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投标人应承诺重要保障期（由采购人根据业务需求确定），按照采购人要求，投标人负责安排1名技术人员现场值守服务，处置突发故障，保障系统稳定运行。投标人提供承诺函，格式自拟。</w:t>
      </w:r>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8D012"/>
    <w:multiLevelType w:val="singleLevel"/>
    <w:tmpl w:val="9A18D012"/>
    <w:lvl w:ilvl="0" w:tentative="0">
      <w:start w:val="1"/>
      <w:numFmt w:val="decimal"/>
      <w:lvlText w:val="%1."/>
      <w:lvlJc w:val="left"/>
      <w:pPr>
        <w:ind w:left="425" w:hanging="425"/>
      </w:pPr>
      <w:rPr>
        <w:rFonts w:hint="default"/>
      </w:rPr>
    </w:lvl>
  </w:abstractNum>
  <w:abstractNum w:abstractNumId="1">
    <w:nsid w:val="A3BC0B56"/>
    <w:multiLevelType w:val="singleLevel"/>
    <w:tmpl w:val="A3BC0B56"/>
    <w:lvl w:ilvl="0" w:tentative="0">
      <w:start w:val="1"/>
      <w:numFmt w:val="decimal"/>
      <w:lvlText w:val="%1."/>
      <w:lvlJc w:val="left"/>
      <w:pPr>
        <w:tabs>
          <w:tab w:val="left" w:pos="732"/>
        </w:tabs>
        <w:ind w:left="420"/>
      </w:pPr>
    </w:lvl>
  </w:abstractNum>
  <w:abstractNum w:abstractNumId="2">
    <w:nsid w:val="A63A3111"/>
    <w:multiLevelType w:val="singleLevel"/>
    <w:tmpl w:val="A63A3111"/>
    <w:lvl w:ilvl="0" w:tentative="0">
      <w:start w:val="3"/>
      <w:numFmt w:val="decimal"/>
      <w:suff w:val="space"/>
      <w:lvlText w:val="%1."/>
      <w:lvlJc w:val="left"/>
      <w:pPr>
        <w:ind w:left="420"/>
      </w:pPr>
    </w:lvl>
  </w:abstractNum>
  <w:abstractNum w:abstractNumId="3">
    <w:nsid w:val="AF4896F1"/>
    <w:multiLevelType w:val="multilevel"/>
    <w:tmpl w:val="AF4896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AFCB28E1"/>
    <w:multiLevelType w:val="multilevel"/>
    <w:tmpl w:val="AFCB28E1"/>
    <w:lvl w:ilvl="0" w:tentative="0">
      <w:start w:val="1"/>
      <w:numFmt w:val="chineseCountingThousand"/>
      <w:lvlText w:val="(%1)"/>
      <w:lvlJc w:val="left"/>
      <w:pPr>
        <w:ind w:left="621" w:hanging="380"/>
      </w:pPr>
      <w:rPr>
        <w:rFonts w:hint="default"/>
      </w:rPr>
    </w:lvl>
    <w:lvl w:ilvl="1" w:tentative="0">
      <w:start w:val="1"/>
      <w:numFmt w:val="decimal"/>
      <w:lvlText w:val="%2、"/>
      <w:lvlJc w:val="left"/>
      <w:pPr>
        <w:ind w:left="1401" w:hanging="720"/>
      </w:pPr>
      <w:rPr>
        <w:rFonts w:hint="default"/>
      </w:rPr>
    </w:lvl>
    <w:lvl w:ilvl="2" w:tentative="0">
      <w:start w:val="1"/>
      <w:numFmt w:val="lowerRoman"/>
      <w:lvlText w:val="%3."/>
      <w:lvlJc w:val="right"/>
      <w:pPr>
        <w:ind w:left="1561" w:hanging="440"/>
      </w:pPr>
    </w:lvl>
    <w:lvl w:ilvl="3" w:tentative="0">
      <w:start w:val="1"/>
      <w:numFmt w:val="decimal"/>
      <w:lvlText w:val="%4."/>
      <w:lvlJc w:val="left"/>
      <w:pPr>
        <w:ind w:left="2001" w:hanging="440"/>
      </w:pPr>
    </w:lvl>
    <w:lvl w:ilvl="4" w:tentative="0">
      <w:start w:val="1"/>
      <w:numFmt w:val="lowerLetter"/>
      <w:lvlText w:val="%5)"/>
      <w:lvlJc w:val="left"/>
      <w:pPr>
        <w:ind w:left="2441" w:hanging="440"/>
      </w:pPr>
    </w:lvl>
    <w:lvl w:ilvl="5" w:tentative="0">
      <w:start w:val="1"/>
      <w:numFmt w:val="lowerRoman"/>
      <w:lvlText w:val="%6."/>
      <w:lvlJc w:val="right"/>
      <w:pPr>
        <w:ind w:left="2881" w:hanging="440"/>
      </w:pPr>
    </w:lvl>
    <w:lvl w:ilvl="6" w:tentative="0">
      <w:start w:val="1"/>
      <w:numFmt w:val="decimal"/>
      <w:lvlText w:val="%7."/>
      <w:lvlJc w:val="left"/>
      <w:pPr>
        <w:ind w:left="3321" w:hanging="440"/>
      </w:pPr>
    </w:lvl>
    <w:lvl w:ilvl="7" w:tentative="0">
      <w:start w:val="1"/>
      <w:numFmt w:val="lowerLetter"/>
      <w:lvlText w:val="%8)"/>
      <w:lvlJc w:val="left"/>
      <w:pPr>
        <w:ind w:left="3761" w:hanging="440"/>
      </w:pPr>
    </w:lvl>
    <w:lvl w:ilvl="8" w:tentative="0">
      <w:start w:val="1"/>
      <w:numFmt w:val="lowerRoman"/>
      <w:lvlText w:val="%9."/>
      <w:lvlJc w:val="right"/>
      <w:pPr>
        <w:ind w:left="4201" w:hanging="440"/>
      </w:pPr>
    </w:lvl>
  </w:abstractNum>
  <w:abstractNum w:abstractNumId="5">
    <w:nsid w:val="B232CE6C"/>
    <w:multiLevelType w:val="singleLevel"/>
    <w:tmpl w:val="B232CE6C"/>
    <w:lvl w:ilvl="0" w:tentative="0">
      <w:start w:val="1"/>
      <w:numFmt w:val="decimal"/>
      <w:lvlText w:val="%1."/>
      <w:lvlJc w:val="left"/>
      <w:pPr>
        <w:ind w:left="425" w:hanging="425"/>
      </w:pPr>
      <w:rPr>
        <w:rFonts w:hint="default"/>
      </w:rPr>
    </w:lvl>
  </w:abstractNum>
  <w:abstractNum w:abstractNumId="6">
    <w:nsid w:val="B25E5739"/>
    <w:multiLevelType w:val="multilevel"/>
    <w:tmpl w:val="B25E573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B8D07832"/>
    <w:multiLevelType w:val="multilevel"/>
    <w:tmpl w:val="B8D07832"/>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69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BEC3A675"/>
    <w:multiLevelType w:val="singleLevel"/>
    <w:tmpl w:val="BEC3A675"/>
    <w:lvl w:ilvl="0" w:tentative="0">
      <w:start w:val="1"/>
      <w:numFmt w:val="decimal"/>
      <w:lvlText w:val="%1."/>
      <w:lvlJc w:val="left"/>
      <w:pPr>
        <w:ind w:left="425" w:hanging="425"/>
      </w:pPr>
      <w:rPr>
        <w:rFonts w:hint="default"/>
      </w:rPr>
    </w:lvl>
  </w:abstractNum>
  <w:abstractNum w:abstractNumId="9">
    <w:nsid w:val="C4816BFA"/>
    <w:multiLevelType w:val="singleLevel"/>
    <w:tmpl w:val="C4816BFA"/>
    <w:lvl w:ilvl="0" w:tentative="0">
      <w:start w:val="1"/>
      <w:numFmt w:val="decimal"/>
      <w:lvlText w:val="%1."/>
      <w:lvlJc w:val="left"/>
      <w:pPr>
        <w:ind w:left="425" w:hanging="425"/>
      </w:pPr>
      <w:rPr>
        <w:rFonts w:hint="default"/>
      </w:rPr>
    </w:lvl>
  </w:abstractNum>
  <w:abstractNum w:abstractNumId="10">
    <w:nsid w:val="DA6450BE"/>
    <w:multiLevelType w:val="multilevel"/>
    <w:tmpl w:val="DA6450BE"/>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69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F126864A"/>
    <w:multiLevelType w:val="multilevel"/>
    <w:tmpl w:val="F126864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69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00CB1BB1"/>
    <w:multiLevelType w:val="multilevel"/>
    <w:tmpl w:val="00CB1BB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3DC077A"/>
    <w:multiLevelType w:val="multilevel"/>
    <w:tmpl w:val="03DC077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2A04574"/>
    <w:multiLevelType w:val="singleLevel"/>
    <w:tmpl w:val="12A04574"/>
    <w:lvl w:ilvl="0" w:tentative="0">
      <w:start w:val="1"/>
      <w:numFmt w:val="decimal"/>
      <w:lvlText w:val="%1."/>
      <w:lvlJc w:val="left"/>
      <w:pPr>
        <w:ind w:left="425" w:hanging="425"/>
      </w:pPr>
      <w:rPr>
        <w:rFonts w:hint="default"/>
      </w:rPr>
    </w:lvl>
  </w:abstractNum>
  <w:abstractNum w:abstractNumId="16">
    <w:nsid w:val="17AECB12"/>
    <w:multiLevelType w:val="singleLevel"/>
    <w:tmpl w:val="17AECB12"/>
    <w:lvl w:ilvl="0" w:tentative="0">
      <w:start w:val="1"/>
      <w:numFmt w:val="decimal"/>
      <w:lvlText w:val="%1."/>
      <w:lvlJc w:val="left"/>
      <w:pPr>
        <w:ind w:left="425" w:hanging="425"/>
      </w:pPr>
      <w:rPr>
        <w:rFonts w:hint="default"/>
      </w:rPr>
    </w:lvl>
  </w:abstractNum>
  <w:abstractNum w:abstractNumId="17">
    <w:nsid w:val="1AAAAE4A"/>
    <w:multiLevelType w:val="singleLevel"/>
    <w:tmpl w:val="1AAAAE4A"/>
    <w:lvl w:ilvl="0" w:tentative="0">
      <w:start w:val="1"/>
      <w:numFmt w:val="decimal"/>
      <w:lvlText w:val="%1."/>
      <w:lvlJc w:val="left"/>
      <w:pPr>
        <w:ind w:left="425" w:hanging="425"/>
      </w:pPr>
      <w:rPr>
        <w:rFonts w:hint="default"/>
      </w:rPr>
    </w:lvl>
  </w:abstractNum>
  <w:abstractNum w:abstractNumId="18">
    <w:nsid w:val="1B10CB19"/>
    <w:multiLevelType w:val="singleLevel"/>
    <w:tmpl w:val="1B10CB19"/>
    <w:lvl w:ilvl="0" w:tentative="0">
      <w:start w:val="1"/>
      <w:numFmt w:val="bullet"/>
      <w:lvlText w:val=""/>
      <w:lvlJc w:val="left"/>
      <w:pPr>
        <w:tabs>
          <w:tab w:val="left" w:pos="420"/>
        </w:tabs>
        <w:ind w:left="840" w:hanging="420"/>
      </w:pPr>
      <w:rPr>
        <w:rFonts w:hint="default" w:ascii="Wingdings" w:hAnsi="Wingdings"/>
      </w:rPr>
    </w:lvl>
  </w:abstractNum>
  <w:abstractNum w:abstractNumId="19">
    <w:nsid w:val="1E597C90"/>
    <w:multiLevelType w:val="multilevel"/>
    <w:tmpl w:val="1E597C90"/>
    <w:lvl w:ilvl="0" w:tentative="0">
      <w:start w:val="1"/>
      <w:numFmt w:val="chineseCountingThousand"/>
      <w:lvlText w:val="(%1)"/>
      <w:lvlJc w:val="left"/>
      <w:pPr>
        <w:ind w:left="621" w:hanging="380"/>
      </w:pPr>
      <w:rPr>
        <w:rFonts w:hint="default"/>
      </w:rPr>
    </w:lvl>
    <w:lvl w:ilvl="1" w:tentative="0">
      <w:start w:val="1"/>
      <w:numFmt w:val="decimal"/>
      <w:lvlText w:val="%2、"/>
      <w:lvlJc w:val="left"/>
      <w:pPr>
        <w:ind w:left="1401" w:hanging="720"/>
      </w:pPr>
      <w:rPr>
        <w:rFonts w:hint="default"/>
      </w:rPr>
    </w:lvl>
    <w:lvl w:ilvl="2" w:tentative="0">
      <w:start w:val="1"/>
      <w:numFmt w:val="lowerRoman"/>
      <w:lvlText w:val="%3."/>
      <w:lvlJc w:val="right"/>
      <w:pPr>
        <w:ind w:left="1561" w:hanging="440"/>
      </w:pPr>
    </w:lvl>
    <w:lvl w:ilvl="3" w:tentative="0">
      <w:start w:val="1"/>
      <w:numFmt w:val="decimal"/>
      <w:lvlText w:val="%4."/>
      <w:lvlJc w:val="left"/>
      <w:pPr>
        <w:ind w:left="2001" w:hanging="440"/>
      </w:pPr>
    </w:lvl>
    <w:lvl w:ilvl="4" w:tentative="0">
      <w:start w:val="1"/>
      <w:numFmt w:val="lowerLetter"/>
      <w:lvlText w:val="%5)"/>
      <w:lvlJc w:val="left"/>
      <w:pPr>
        <w:ind w:left="2441" w:hanging="440"/>
      </w:pPr>
    </w:lvl>
    <w:lvl w:ilvl="5" w:tentative="0">
      <w:start w:val="1"/>
      <w:numFmt w:val="lowerRoman"/>
      <w:lvlText w:val="%6."/>
      <w:lvlJc w:val="right"/>
      <w:pPr>
        <w:ind w:left="2881" w:hanging="440"/>
      </w:pPr>
    </w:lvl>
    <w:lvl w:ilvl="6" w:tentative="0">
      <w:start w:val="1"/>
      <w:numFmt w:val="decimal"/>
      <w:lvlText w:val="%7."/>
      <w:lvlJc w:val="left"/>
      <w:pPr>
        <w:ind w:left="3321" w:hanging="440"/>
      </w:pPr>
    </w:lvl>
    <w:lvl w:ilvl="7" w:tentative="0">
      <w:start w:val="1"/>
      <w:numFmt w:val="lowerLetter"/>
      <w:lvlText w:val="%8)"/>
      <w:lvlJc w:val="left"/>
      <w:pPr>
        <w:ind w:left="3761" w:hanging="440"/>
      </w:pPr>
    </w:lvl>
    <w:lvl w:ilvl="8" w:tentative="0">
      <w:start w:val="1"/>
      <w:numFmt w:val="lowerRoman"/>
      <w:lvlText w:val="%9."/>
      <w:lvlJc w:val="right"/>
      <w:pPr>
        <w:ind w:left="4201" w:hanging="440"/>
      </w:pPr>
    </w:lvl>
  </w:abstractNum>
  <w:abstractNum w:abstractNumId="20">
    <w:nsid w:val="2686F1CB"/>
    <w:multiLevelType w:val="singleLevel"/>
    <w:tmpl w:val="2686F1CB"/>
    <w:lvl w:ilvl="0" w:tentative="0">
      <w:start w:val="6"/>
      <w:numFmt w:val="decimal"/>
      <w:lvlText w:val="%1."/>
      <w:lvlJc w:val="left"/>
      <w:pPr>
        <w:tabs>
          <w:tab w:val="left" w:pos="312"/>
        </w:tabs>
      </w:pPr>
    </w:lvl>
  </w:abstractNum>
  <w:abstractNum w:abstractNumId="21">
    <w:nsid w:val="27C01FAC"/>
    <w:multiLevelType w:val="multilevel"/>
    <w:tmpl w:val="27C01FAC"/>
    <w:lvl w:ilvl="0" w:tentative="0">
      <w:start w:val="1"/>
      <w:numFmt w:val="chineseCountingThousand"/>
      <w:lvlText w:val="(%1)"/>
      <w:lvlJc w:val="left"/>
      <w:pPr>
        <w:ind w:left="621" w:hanging="380"/>
      </w:pPr>
      <w:rPr>
        <w:rFonts w:hint="default"/>
      </w:rPr>
    </w:lvl>
    <w:lvl w:ilvl="1" w:tentative="0">
      <w:start w:val="1"/>
      <w:numFmt w:val="decimal"/>
      <w:lvlText w:val="%2、"/>
      <w:lvlJc w:val="left"/>
      <w:pPr>
        <w:ind w:left="1401" w:hanging="720"/>
      </w:pPr>
      <w:rPr>
        <w:rFonts w:hint="default"/>
      </w:rPr>
    </w:lvl>
    <w:lvl w:ilvl="2" w:tentative="0">
      <w:start w:val="1"/>
      <w:numFmt w:val="lowerRoman"/>
      <w:lvlText w:val="%3."/>
      <w:lvlJc w:val="right"/>
      <w:pPr>
        <w:ind w:left="1561" w:hanging="440"/>
      </w:pPr>
    </w:lvl>
    <w:lvl w:ilvl="3" w:tentative="0">
      <w:start w:val="1"/>
      <w:numFmt w:val="decimal"/>
      <w:lvlText w:val="%4."/>
      <w:lvlJc w:val="left"/>
      <w:pPr>
        <w:ind w:left="2001" w:hanging="440"/>
      </w:pPr>
    </w:lvl>
    <w:lvl w:ilvl="4" w:tentative="0">
      <w:start w:val="1"/>
      <w:numFmt w:val="lowerLetter"/>
      <w:lvlText w:val="%5)"/>
      <w:lvlJc w:val="left"/>
      <w:pPr>
        <w:ind w:left="2441" w:hanging="440"/>
      </w:pPr>
    </w:lvl>
    <w:lvl w:ilvl="5" w:tentative="0">
      <w:start w:val="1"/>
      <w:numFmt w:val="lowerRoman"/>
      <w:lvlText w:val="%6."/>
      <w:lvlJc w:val="right"/>
      <w:pPr>
        <w:ind w:left="2881" w:hanging="440"/>
      </w:pPr>
    </w:lvl>
    <w:lvl w:ilvl="6" w:tentative="0">
      <w:start w:val="1"/>
      <w:numFmt w:val="decimal"/>
      <w:lvlText w:val="%7."/>
      <w:lvlJc w:val="left"/>
      <w:pPr>
        <w:ind w:left="3321" w:hanging="440"/>
      </w:pPr>
    </w:lvl>
    <w:lvl w:ilvl="7" w:tentative="0">
      <w:start w:val="1"/>
      <w:numFmt w:val="lowerLetter"/>
      <w:lvlText w:val="%8)"/>
      <w:lvlJc w:val="left"/>
      <w:pPr>
        <w:ind w:left="3761" w:hanging="440"/>
      </w:pPr>
    </w:lvl>
    <w:lvl w:ilvl="8" w:tentative="0">
      <w:start w:val="1"/>
      <w:numFmt w:val="lowerRoman"/>
      <w:lvlText w:val="%9."/>
      <w:lvlJc w:val="right"/>
      <w:pPr>
        <w:ind w:left="4201" w:hanging="440"/>
      </w:pPr>
    </w:lvl>
  </w:abstractNum>
  <w:abstractNum w:abstractNumId="22">
    <w:nsid w:val="2BF67A3D"/>
    <w:multiLevelType w:val="multilevel"/>
    <w:tmpl w:val="2BF67A3D"/>
    <w:lvl w:ilvl="0" w:tentative="0">
      <w:start w:val="1"/>
      <w:numFmt w:val="chineseCountingThousand"/>
      <w:lvlText w:val="(%1)"/>
      <w:lvlJc w:val="left"/>
      <w:pPr>
        <w:ind w:left="621" w:hanging="380"/>
      </w:pPr>
      <w:rPr>
        <w:rFonts w:hint="default"/>
      </w:rPr>
    </w:lvl>
    <w:lvl w:ilvl="1" w:tentative="0">
      <w:start w:val="1"/>
      <w:numFmt w:val="decimal"/>
      <w:lvlText w:val="%2、"/>
      <w:lvlJc w:val="left"/>
      <w:pPr>
        <w:ind w:left="1401" w:hanging="720"/>
      </w:pPr>
      <w:rPr>
        <w:rFonts w:hint="default"/>
      </w:rPr>
    </w:lvl>
    <w:lvl w:ilvl="2" w:tentative="0">
      <w:start w:val="1"/>
      <w:numFmt w:val="lowerRoman"/>
      <w:lvlText w:val="%3."/>
      <w:lvlJc w:val="right"/>
      <w:pPr>
        <w:ind w:left="1561" w:hanging="440"/>
      </w:pPr>
    </w:lvl>
    <w:lvl w:ilvl="3" w:tentative="0">
      <w:start w:val="1"/>
      <w:numFmt w:val="decimal"/>
      <w:lvlText w:val="%4."/>
      <w:lvlJc w:val="left"/>
      <w:pPr>
        <w:ind w:left="2001" w:hanging="440"/>
      </w:pPr>
    </w:lvl>
    <w:lvl w:ilvl="4" w:tentative="0">
      <w:start w:val="1"/>
      <w:numFmt w:val="lowerLetter"/>
      <w:lvlText w:val="%5)"/>
      <w:lvlJc w:val="left"/>
      <w:pPr>
        <w:ind w:left="2441" w:hanging="440"/>
      </w:pPr>
    </w:lvl>
    <w:lvl w:ilvl="5" w:tentative="0">
      <w:start w:val="1"/>
      <w:numFmt w:val="lowerRoman"/>
      <w:lvlText w:val="%6."/>
      <w:lvlJc w:val="right"/>
      <w:pPr>
        <w:ind w:left="2881" w:hanging="440"/>
      </w:pPr>
    </w:lvl>
    <w:lvl w:ilvl="6" w:tentative="0">
      <w:start w:val="1"/>
      <w:numFmt w:val="decimal"/>
      <w:lvlText w:val="%7."/>
      <w:lvlJc w:val="left"/>
      <w:pPr>
        <w:ind w:left="3321" w:hanging="440"/>
      </w:pPr>
    </w:lvl>
    <w:lvl w:ilvl="7" w:tentative="0">
      <w:start w:val="1"/>
      <w:numFmt w:val="lowerLetter"/>
      <w:lvlText w:val="%8)"/>
      <w:lvlJc w:val="left"/>
      <w:pPr>
        <w:ind w:left="3761" w:hanging="440"/>
      </w:pPr>
    </w:lvl>
    <w:lvl w:ilvl="8" w:tentative="0">
      <w:start w:val="1"/>
      <w:numFmt w:val="lowerRoman"/>
      <w:lvlText w:val="%9."/>
      <w:lvlJc w:val="right"/>
      <w:pPr>
        <w:ind w:left="4201" w:hanging="440"/>
      </w:pPr>
    </w:lvl>
  </w:abstractNum>
  <w:abstractNum w:abstractNumId="23">
    <w:nsid w:val="2E900A9B"/>
    <w:multiLevelType w:val="singleLevel"/>
    <w:tmpl w:val="2E900A9B"/>
    <w:lvl w:ilvl="0" w:tentative="0">
      <w:start w:val="1"/>
      <w:numFmt w:val="decimal"/>
      <w:lvlText w:val="%1."/>
      <w:lvlJc w:val="left"/>
      <w:pPr>
        <w:ind w:left="425" w:hanging="425"/>
      </w:pPr>
      <w:rPr>
        <w:rFonts w:hint="default"/>
      </w:rPr>
    </w:lvl>
  </w:abstractNum>
  <w:abstractNum w:abstractNumId="24">
    <w:nsid w:val="45C4C84E"/>
    <w:multiLevelType w:val="singleLevel"/>
    <w:tmpl w:val="45C4C84E"/>
    <w:lvl w:ilvl="0" w:tentative="0">
      <w:start w:val="2"/>
      <w:numFmt w:val="chineseCounting"/>
      <w:suff w:val="nothing"/>
      <w:lvlText w:val="%1、"/>
      <w:lvlJc w:val="left"/>
      <w:rPr>
        <w:rFonts w:hint="eastAsia"/>
      </w:rPr>
    </w:lvl>
  </w:abstractNum>
  <w:abstractNum w:abstractNumId="25">
    <w:nsid w:val="53A11427"/>
    <w:multiLevelType w:val="multilevel"/>
    <w:tmpl w:val="53A1142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2"/>
  </w:num>
  <w:num w:numId="2">
    <w:abstractNumId w:val="20"/>
  </w:num>
  <w:num w:numId="3">
    <w:abstractNumId w:val="24"/>
  </w:num>
  <w:num w:numId="4">
    <w:abstractNumId w:val="18"/>
  </w:num>
  <w:num w:numId="5">
    <w:abstractNumId w:val="1"/>
  </w:num>
  <w:num w:numId="6">
    <w:abstractNumId w:val="2"/>
  </w:num>
  <w:num w:numId="7">
    <w:abstractNumId w:val="10"/>
  </w:num>
  <w:num w:numId="8">
    <w:abstractNumId w:val="7"/>
  </w:num>
  <w:num w:numId="9">
    <w:abstractNumId w:val="19"/>
  </w:num>
  <w:num w:numId="10">
    <w:abstractNumId w:val="15"/>
  </w:num>
  <w:num w:numId="11">
    <w:abstractNumId w:val="23"/>
  </w:num>
  <w:num w:numId="12">
    <w:abstractNumId w:val="8"/>
  </w:num>
  <w:num w:numId="13">
    <w:abstractNumId w:val="22"/>
  </w:num>
  <w:num w:numId="14">
    <w:abstractNumId w:val="4"/>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6"/>
  </w:num>
  <w:num w:numId="20">
    <w:abstractNumId w:val="14"/>
  </w:num>
  <w:num w:numId="21">
    <w:abstractNumId w:val="21"/>
  </w:num>
  <w:num w:numId="22">
    <w:abstractNumId w:val="17"/>
  </w:num>
  <w:num w:numId="23">
    <w:abstractNumId w:val="9"/>
  </w:num>
  <w:num w:numId="24">
    <w:abstractNumId w:val="0"/>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5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Salutation"/>
    <w:basedOn w:val="1"/>
    <w:next w:val="1"/>
    <w:qFormat/>
    <w:uiPriority w:val="0"/>
  </w:style>
  <w:style w:type="character" w:styleId="11">
    <w:name w:val="annotation reference"/>
    <w:basedOn w:val="10"/>
    <w:qFormat/>
    <w:uiPriority w:val="99"/>
    <w:rPr>
      <w:sz w:val="21"/>
      <w:szCs w:val="21"/>
    </w:rPr>
  </w:style>
  <w:style w:type="paragraph" w:customStyle="1" w:styleId="12">
    <w:name w:val="标书正文"/>
    <w:basedOn w:val="1"/>
    <w:qFormat/>
    <w:uiPriority w:val="0"/>
    <w:pPr>
      <w:suppressAutoHyphens/>
      <w:spacing w:line="360" w:lineRule="auto"/>
      <w:ind w:firstLine="200" w:firstLineChars="200"/>
    </w:pPr>
    <w:rPr>
      <w:rFonts w:ascii="Calibri" w:hAnsi="Calibri"/>
      <w:sz w:val="24"/>
    </w:rPr>
  </w:style>
  <w:style w:type="character" w:customStyle="1" w:styleId="13">
    <w:name w:val="标题 2 Char"/>
    <w:link w:val="3"/>
    <w:qFormat/>
    <w:uiPriority w:val="0"/>
    <w:rPr>
      <w:rFonts w:ascii="Arial" w:hAnsi="Arial" w:eastAsia="黑体"/>
      <w:b/>
      <w:kern w:val="0"/>
      <w:sz w:val="30"/>
      <w:szCs w:val="20"/>
    </w:rPr>
  </w:style>
  <w:style w:type="paragraph" w:customStyle="1" w:styleId="14">
    <w:name w:val="标正文"/>
    <w:basedOn w:val="1"/>
    <w:qFormat/>
    <w:uiPriority w:val="0"/>
    <w:pPr>
      <w:widowControl/>
      <w:spacing w:line="360" w:lineRule="auto"/>
      <w:ind w:firstLine="480" w:firstLineChars="200"/>
      <w:jc w:val="left"/>
    </w:pPr>
    <w:rPr>
      <w:rFonts w:ascii="宋体" w:hAnsi="宋体"/>
      <w:szCs w:val="30"/>
    </w:rPr>
  </w:style>
  <w:style w:type="paragraph" w:customStyle="1" w:styleId="15">
    <w:name w:val="标准文件_段"/>
    <w:qFormat/>
    <w:uiPriority w:val="0"/>
    <w:pPr>
      <w:autoSpaceDE w:val="0"/>
      <w:autoSpaceDN w:val="0"/>
      <w:spacing w:after="0" w:line="240" w:lineRule="auto"/>
      <w:ind w:firstLine="200" w:firstLineChars="200"/>
      <w:jc w:val="both"/>
    </w:pPr>
    <w:rPr>
      <w:rFonts w:ascii="宋体" w:hAnsi="Times New Roman" w:eastAsia="宋体" w:cs="Times New Roman"/>
      <w:kern w:val="0"/>
      <w:sz w:val="24"/>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2026-03-16T03:01:59Z</dcterms:created>
  <dc:creator>zhhx</dc:creator>
  <cp:lastModifiedBy>高</cp:lastModifiedBy>
  <dcterms:modified xsi:type="dcterms:W3CDTF">2026-03-16T03:02:44Z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A5E85D8B4F824B41910149DEEEC23D6F_12</vt:lpwstr>
  </property>
</Properties>
</file>